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colors3.xml" ContentType="application/vnd.openxmlformats-officedocument.drawingml.diagramColors+xml"/>
  <Override PartName="/word/diagrams/colors4.xml" ContentType="application/vnd.openxmlformats-officedocument.drawingml.diagramColors+xml"/>
  <Override PartName="/word/diagrams/colors5.xml" ContentType="application/vnd.openxmlformats-officedocument.drawingml.diagramColors+xml"/>
  <Override PartName="/word/diagrams/colors6.xml" ContentType="application/vnd.openxmlformats-officedocument.drawingml.diagramColors+xml"/>
  <Override PartName="/word/diagrams/colors7.xml" ContentType="application/vnd.openxmlformats-officedocument.drawingml.diagramColors+xml"/>
  <Override PartName="/word/diagrams/colors8.xml" ContentType="application/vnd.openxmlformats-officedocument.drawingml.diagramColors+xml"/>
  <Override PartName="/word/diagrams/colors9.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5.xml" ContentType="application/vnd.openxmlformats-officedocument.drawingml.diagramData+xml"/>
  <Override PartName="/word/diagrams/data6.xml" ContentType="application/vnd.openxmlformats-officedocument.drawingml.diagramData+xml"/>
  <Override PartName="/word/diagrams/data7.xml" ContentType="application/vnd.openxmlformats-officedocument.drawingml.diagramData+xml"/>
  <Override PartName="/word/diagrams/data8.xml" ContentType="application/vnd.openxmlformats-officedocument.drawingml.diagramData+xml"/>
  <Override PartName="/word/diagrams/data9.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drawing3.xml" ContentType="application/vnd.ms-office.drawingml.diagramDrawing+xml"/>
  <Override PartName="/word/diagrams/drawing4.xml" ContentType="application/vnd.ms-office.drawingml.diagramDrawing+xml"/>
  <Override PartName="/word/diagrams/drawing5.xml" ContentType="application/vnd.ms-office.drawingml.diagramDrawing+xml"/>
  <Override PartName="/word/diagrams/drawing6.xml" ContentType="application/vnd.ms-office.drawingml.diagramDrawing+xml"/>
  <Override PartName="/word/diagrams/drawing7.xml" ContentType="application/vnd.ms-office.drawingml.diagramDrawing+xml"/>
  <Override PartName="/word/diagrams/drawing8.xml" ContentType="application/vnd.ms-office.drawingml.diagramDrawing+xml"/>
  <Override PartName="/word/diagrams/drawing9.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layout3.xml" ContentType="application/vnd.openxmlformats-officedocument.drawingml.diagramLayout+xml"/>
  <Override PartName="/word/diagrams/layout4.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layout7.xml" ContentType="application/vnd.openxmlformats-officedocument.drawingml.diagramLayout+xml"/>
  <Override PartName="/word/diagrams/layout8.xml" ContentType="application/vnd.openxmlformats-officedocument.drawingml.diagramLayout+xml"/>
  <Override PartName="/word/diagrams/layout9.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iagrams/quickStyle3.xml" ContentType="application/vnd.openxmlformats-officedocument.drawingml.diagramStyle+xml"/>
  <Override PartName="/word/diagrams/quickStyle4.xml" ContentType="application/vnd.openxmlformats-officedocument.drawingml.diagramStyle+xml"/>
  <Override PartName="/word/diagrams/quickStyle5.xml" ContentType="application/vnd.openxmlformats-officedocument.drawingml.diagramStyle+xml"/>
  <Override PartName="/word/diagrams/quickStyle6.xml" ContentType="application/vnd.openxmlformats-officedocument.drawingml.diagramStyle+xml"/>
  <Override PartName="/word/diagrams/quickStyle7.xml" ContentType="application/vnd.openxmlformats-officedocument.drawingml.diagramStyle+xml"/>
  <Override PartName="/word/diagrams/quickStyle8.xml" ContentType="application/vnd.openxmlformats-officedocument.drawingml.diagramStyle+xml"/>
  <Override PartName="/word/diagrams/quickStyle9.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0" w:line="480" w:lineRule="auto"/>
        <w:jc w:val="center"/>
        <w:rPr>
          <w:rFonts w:ascii="黑体" w:hAnsi="黑体" w:eastAsia="黑体"/>
          <w:b/>
          <w:sz w:val="36"/>
          <w:szCs w:val="36"/>
          <w:lang w:eastAsia="zh-CN"/>
        </w:rPr>
      </w:pPr>
      <w:bookmarkStart w:id="0" w:name="_Toc32597"/>
      <w:bookmarkStart w:id="1" w:name="_Toc18200"/>
      <w:bookmarkStart w:id="2" w:name="_Toc489127229"/>
      <w:bookmarkStart w:id="3" w:name="_Toc488086961"/>
      <w:bookmarkStart w:id="4" w:name="_Toc488086774"/>
      <w:bookmarkStart w:id="5" w:name="_Toc488339857"/>
      <w:bookmarkStart w:id="6" w:name="_Toc489127687"/>
      <w:bookmarkStart w:id="7" w:name="_Toc488339616"/>
      <w:bookmarkStart w:id="8" w:name="_Toc499206805"/>
      <w:bookmarkStart w:id="9" w:name="_Toc489127379"/>
    </w:p>
    <w:p>
      <w:pPr>
        <w:spacing w:before="624" w:beforeLines="200" w:after="0" w:line="480" w:lineRule="auto"/>
        <w:jc w:val="center"/>
        <w:rPr>
          <w:rFonts w:ascii="黑体" w:hAnsi="黑体" w:eastAsia="黑体"/>
          <w:b/>
          <w:sz w:val="36"/>
          <w:szCs w:val="36"/>
          <w:lang w:eastAsia="zh-CN"/>
        </w:rPr>
      </w:pPr>
      <w:r>
        <w:rPr>
          <w:rFonts w:hint="eastAsia" w:ascii="黑体" w:hAnsi="黑体" w:eastAsia="黑体"/>
          <w:b/>
          <w:sz w:val="36"/>
          <w:szCs w:val="36"/>
          <w:lang w:eastAsia="zh-CN"/>
        </w:rPr>
        <w:t>忻州市政务服务中心业务用房建设工程项目</w:t>
      </w:r>
    </w:p>
    <w:p>
      <w:pPr>
        <w:spacing w:after="0" w:line="480" w:lineRule="auto"/>
        <w:jc w:val="center"/>
        <w:rPr>
          <w:rFonts w:ascii="黑体" w:hAnsi="黑体" w:eastAsia="黑体"/>
          <w:b/>
          <w:sz w:val="36"/>
          <w:szCs w:val="36"/>
          <w:lang w:eastAsia="zh-CN"/>
        </w:rPr>
      </w:pPr>
      <w:r>
        <w:rPr>
          <w:rFonts w:hint="eastAsia" w:ascii="黑体" w:hAnsi="黑体" w:eastAsia="黑体"/>
          <w:b/>
          <w:sz w:val="36"/>
          <w:szCs w:val="36"/>
          <w:lang w:eastAsia="zh-CN"/>
        </w:rPr>
        <w:t>绩效评价报告</w:t>
      </w:r>
    </w:p>
    <w:p>
      <w:pPr>
        <w:jc w:val="both"/>
        <w:rPr>
          <w:rFonts w:ascii="仿宋" w:hAnsi="仿宋"/>
          <w:sz w:val="30"/>
          <w:szCs w:val="30"/>
          <w:lang w:eastAsia="zh-CN"/>
        </w:rPr>
      </w:pPr>
    </w:p>
    <w:p>
      <w:pPr>
        <w:jc w:val="center"/>
        <w:rPr>
          <w:rFonts w:ascii="仿宋" w:hAnsi="仿宋"/>
          <w:sz w:val="30"/>
          <w:szCs w:val="30"/>
          <w:lang w:eastAsia="zh-CN"/>
        </w:rPr>
      </w:pPr>
      <w:r>
        <w:rPr>
          <w:rFonts w:hint="eastAsia" w:ascii="黑体" w:hAnsi="黑体" w:eastAsia="黑体"/>
          <w:b/>
          <w:sz w:val="30"/>
          <w:lang w:eastAsia="zh-CN"/>
        </w:rPr>
        <w:t>晋国元审［2018］第0008号</w:t>
      </w:r>
    </w:p>
    <w:p>
      <w:pPr>
        <w:jc w:val="center"/>
        <w:rPr>
          <w:rFonts w:ascii="仿宋" w:hAnsi="仿宋"/>
          <w:sz w:val="30"/>
          <w:szCs w:val="30"/>
          <w:lang w:eastAsia="zh-CN"/>
        </w:rPr>
      </w:pPr>
    </w:p>
    <w:p>
      <w:pPr>
        <w:jc w:val="center"/>
        <w:rPr>
          <w:rFonts w:ascii="仿宋" w:hAnsi="仿宋"/>
          <w:sz w:val="30"/>
          <w:szCs w:val="30"/>
          <w:lang w:eastAsia="zh-CN"/>
        </w:rPr>
      </w:pPr>
    </w:p>
    <w:p>
      <w:pPr>
        <w:autoSpaceDN w:val="0"/>
        <w:spacing w:line="800" w:lineRule="exact"/>
        <w:ind w:left="2066" w:leftChars="200" w:hanging="1506" w:hangingChars="500"/>
        <w:rPr>
          <w:rFonts w:eastAsia="黑体"/>
          <w:b/>
          <w:color w:val="000000"/>
          <w:sz w:val="30"/>
          <w:szCs w:val="30"/>
          <w:lang w:eastAsia="zh-CN"/>
        </w:rPr>
      </w:pPr>
    </w:p>
    <w:p>
      <w:pPr>
        <w:autoSpaceDN w:val="0"/>
        <w:spacing w:line="800" w:lineRule="exact"/>
        <w:ind w:left="2066" w:leftChars="200" w:hanging="1506" w:hangingChars="500"/>
        <w:rPr>
          <w:rFonts w:eastAsia="黑体"/>
          <w:b/>
          <w:color w:val="000000"/>
          <w:sz w:val="30"/>
          <w:szCs w:val="30"/>
          <w:lang w:eastAsia="zh-CN"/>
        </w:rPr>
      </w:pPr>
      <w:r>
        <w:rPr>
          <w:rFonts w:eastAsia="黑体"/>
          <w:b/>
          <w:color w:val="000000"/>
          <w:sz w:val="30"/>
          <w:szCs w:val="30"/>
          <w:lang w:eastAsia="zh-CN"/>
        </w:rPr>
        <w:t>项目名称：</w:t>
      </w:r>
      <w:r>
        <w:rPr>
          <w:rFonts w:hint="eastAsia" w:eastAsia="黑体"/>
          <w:b/>
          <w:color w:val="000000"/>
          <w:sz w:val="30"/>
          <w:szCs w:val="30"/>
          <w:lang w:eastAsia="zh-CN"/>
        </w:rPr>
        <w:t>忻州市政务服务中心业务用房建设工程</w:t>
      </w:r>
    </w:p>
    <w:p>
      <w:pPr>
        <w:autoSpaceDN w:val="0"/>
        <w:spacing w:line="800" w:lineRule="exact"/>
        <w:ind w:left="2066" w:leftChars="200" w:hanging="1506" w:hangingChars="500"/>
        <w:rPr>
          <w:rFonts w:eastAsia="黑体"/>
          <w:b/>
          <w:color w:val="000000"/>
          <w:sz w:val="30"/>
          <w:szCs w:val="30"/>
          <w:lang w:eastAsia="zh-CN"/>
        </w:rPr>
      </w:pPr>
      <w:r>
        <w:rPr>
          <w:rFonts w:hint="eastAsia" w:eastAsia="黑体"/>
          <w:b/>
          <w:color w:val="000000"/>
          <w:sz w:val="30"/>
          <w:szCs w:val="30"/>
          <w:lang w:eastAsia="zh-CN"/>
        </w:rPr>
        <w:t>实施单位：忻州市城乡建设开发有限公司</w:t>
      </w:r>
    </w:p>
    <w:p>
      <w:pPr>
        <w:autoSpaceDN w:val="0"/>
        <w:spacing w:line="800" w:lineRule="exact"/>
        <w:ind w:left="2066" w:leftChars="200" w:hanging="1506" w:hangingChars="500"/>
        <w:rPr>
          <w:rFonts w:eastAsia="黑体"/>
          <w:b/>
          <w:color w:val="000000"/>
          <w:sz w:val="30"/>
          <w:szCs w:val="30"/>
          <w:lang w:eastAsia="zh-CN"/>
        </w:rPr>
      </w:pPr>
      <w:r>
        <w:rPr>
          <w:rFonts w:eastAsia="黑体"/>
          <w:b/>
          <w:color w:val="000000"/>
          <w:sz w:val="30"/>
          <w:szCs w:val="30"/>
          <w:lang w:eastAsia="zh-CN"/>
        </w:rPr>
        <w:t>委托单位：</w:t>
      </w:r>
      <w:r>
        <w:rPr>
          <w:rFonts w:hint="eastAsia" w:eastAsia="黑体"/>
          <w:b/>
          <w:color w:val="000000"/>
          <w:sz w:val="30"/>
          <w:szCs w:val="30"/>
          <w:lang w:eastAsia="zh-CN"/>
        </w:rPr>
        <w:t>忻州市财政局预算投资评审中心</w:t>
      </w:r>
    </w:p>
    <w:p>
      <w:pPr>
        <w:autoSpaceDN w:val="0"/>
        <w:spacing w:line="800" w:lineRule="exact"/>
        <w:ind w:left="1960" w:leftChars="200" w:hanging="1400" w:hangingChars="500"/>
        <w:rPr>
          <w:rFonts w:eastAsia="黑体"/>
          <w:b/>
          <w:color w:val="000000"/>
          <w:sz w:val="30"/>
          <w:szCs w:val="30"/>
          <w:lang w:eastAsia="zh-CN"/>
        </w:rPr>
      </w:pPr>
      <w:r>
        <w:rPr>
          <w:rFonts w:hint="eastAsia"/>
        </w:rPr>
        <w:drawing>
          <wp:anchor distT="0" distB="0" distL="114300" distR="114300" simplePos="0" relativeHeight="251659264" behindDoc="0" locked="0" layoutInCell="1" allowOverlap="1">
            <wp:simplePos x="0" y="0"/>
            <wp:positionH relativeFrom="column">
              <wp:posOffset>1892935</wp:posOffset>
            </wp:positionH>
            <wp:positionV relativeFrom="paragraph">
              <wp:posOffset>290195</wp:posOffset>
            </wp:positionV>
            <wp:extent cx="1619885" cy="1619885"/>
            <wp:effectExtent l="26035" t="6985" r="30480" b="30480"/>
            <wp:wrapNone/>
            <wp:docPr id="7" name="图片 7" descr="微信图片_20180309171518"/>
            <wp:cNvGraphicFramePr/>
            <a:graphic xmlns:a="http://schemas.openxmlformats.org/drawingml/2006/main">
              <a:graphicData uri="http://schemas.openxmlformats.org/drawingml/2006/picture">
                <pic:pic xmlns:pic="http://schemas.openxmlformats.org/drawingml/2006/picture">
                  <pic:nvPicPr>
                    <pic:cNvPr id="7" name="图片 7" descr="微信图片_20180309171518"/>
                    <pic:cNvPicPr/>
                  </pic:nvPicPr>
                  <pic:blipFill>
                    <a:blip r:embed="rId10">
                      <a:clrChange>
                        <a:clrFrom>
                          <a:srgbClr val="FEFAF9">
                            <a:alpha val="100000"/>
                          </a:srgbClr>
                        </a:clrFrom>
                        <a:clrTo>
                          <a:srgbClr val="FEFAF9">
                            <a:alpha val="100000"/>
                            <a:alpha val="0"/>
                          </a:srgbClr>
                        </a:clrTo>
                      </a:clrChange>
                    </a:blip>
                    <a:srcRect t="4116"/>
                    <a:stretch>
                      <a:fillRect/>
                    </a:stretch>
                  </pic:blipFill>
                  <pic:spPr>
                    <a:xfrm rot="660000">
                      <a:off x="0" y="0"/>
                      <a:ext cx="1619885" cy="1619885"/>
                    </a:xfrm>
                    <a:prstGeom prst="rect">
                      <a:avLst/>
                    </a:prstGeom>
                  </pic:spPr>
                </pic:pic>
              </a:graphicData>
            </a:graphic>
          </wp:anchor>
        </w:drawing>
      </w:r>
      <w:r>
        <w:rPr>
          <w:rFonts w:eastAsia="黑体"/>
          <w:b/>
          <w:color w:val="000000"/>
          <w:sz w:val="30"/>
          <w:szCs w:val="30"/>
          <w:lang w:eastAsia="zh-CN"/>
        </w:rPr>
        <w:t>评价机构：</w:t>
      </w:r>
      <w:r>
        <w:rPr>
          <w:rFonts w:hint="eastAsia" w:eastAsia="黑体"/>
          <w:b/>
          <w:color w:val="000000"/>
          <w:sz w:val="30"/>
          <w:szCs w:val="30"/>
          <w:lang w:eastAsia="zh-CN"/>
        </w:rPr>
        <w:t>山西国元会计师事务所（有限公司）</w:t>
      </w:r>
    </w:p>
    <w:p>
      <w:pPr>
        <w:keepNext/>
        <w:keepLines/>
        <w:spacing w:before="260" w:after="260" w:line="416" w:lineRule="auto"/>
        <w:jc w:val="center"/>
        <w:rPr>
          <w:rFonts w:ascii="黑体" w:hAnsi="黑体" w:eastAsia="黑体" w:cs="黑体"/>
          <w:b/>
          <w:bCs/>
          <w:sz w:val="30"/>
          <w:szCs w:val="30"/>
          <w:lang w:eastAsia="zh-CN"/>
        </w:rPr>
      </w:pPr>
    </w:p>
    <w:p>
      <w:pPr>
        <w:keepNext/>
        <w:keepLines/>
        <w:spacing w:before="260" w:after="260" w:line="416" w:lineRule="auto"/>
        <w:jc w:val="center"/>
        <w:rPr>
          <w:lang w:eastAsia="zh-CN"/>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b/>
          <w:bCs/>
          <w:sz w:val="30"/>
          <w:szCs w:val="30"/>
          <w:lang w:eastAsia="zh-CN"/>
        </w:rPr>
        <w:t>2018年3月</w:t>
      </w:r>
    </w:p>
    <w:p>
      <w:pPr>
        <w:jc w:val="center"/>
        <w:rPr>
          <w:b/>
          <w:bCs/>
          <w:lang w:eastAsia="zh-CN"/>
        </w:rPr>
      </w:pPr>
      <w:r>
        <w:rPr>
          <w:rFonts w:hint="eastAsia" w:ascii="仿宋" w:hAnsi="仿宋"/>
          <w:b/>
          <w:bCs/>
          <w:sz w:val="30"/>
          <w:szCs w:val="30"/>
          <w:lang w:eastAsia="zh-CN"/>
        </w:rPr>
        <w:t>目录</w:t>
      </w:r>
    </w:p>
    <w:p>
      <w:pPr>
        <w:pStyle w:val="9"/>
        <w:tabs>
          <w:tab w:val="right" w:leader="dot" w:pos="8306"/>
        </w:tabs>
        <w:rPr>
          <w:rFonts w:ascii="仿宋" w:hAnsi="仿宋" w:eastAsia="仿宋" w:cs="仿宋"/>
          <w:sz w:val="24"/>
          <w:szCs w:val="24"/>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TOC \o "1-3" \h \u </w:instrText>
      </w:r>
      <w:r>
        <w:rPr>
          <w:rFonts w:hint="eastAsia" w:ascii="仿宋" w:hAnsi="仿宋" w:eastAsia="仿宋" w:cs="仿宋"/>
          <w:sz w:val="24"/>
          <w:szCs w:val="24"/>
          <w:lang w:eastAsia="zh-CN"/>
        </w:rPr>
        <w:fldChar w:fldCharType="separate"/>
      </w:r>
      <w:r>
        <w:fldChar w:fldCharType="begin"/>
      </w:r>
      <w:r>
        <w:instrText xml:space="preserve"> HYPERLINK \l "_Toc2686" </w:instrText>
      </w:r>
      <w:r>
        <w:fldChar w:fldCharType="separate"/>
      </w:r>
      <w:r>
        <w:rPr>
          <w:rFonts w:hint="eastAsia" w:ascii="仿宋" w:hAnsi="仿宋" w:eastAsia="仿宋" w:cs="仿宋"/>
          <w:sz w:val="24"/>
          <w:szCs w:val="24"/>
          <w:lang w:eastAsia="zh-CN"/>
        </w:rPr>
        <w:t>摘要</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_Toc2686 </w:instrText>
      </w:r>
      <w:r>
        <w:rPr>
          <w:rFonts w:hint="eastAsia" w:ascii="仿宋" w:hAnsi="仿宋" w:eastAsia="仿宋" w:cs="仿宋"/>
          <w:sz w:val="24"/>
          <w:szCs w:val="24"/>
        </w:rPr>
        <w:fldChar w:fldCharType="separate"/>
      </w:r>
      <w:r>
        <w:rPr>
          <w:rFonts w:ascii="仿宋" w:hAnsi="仿宋" w:eastAsia="仿宋" w:cs="仿宋"/>
          <w:sz w:val="24"/>
          <w:szCs w:val="24"/>
        </w:rPr>
        <w:t>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lang w:eastAsia="zh-CN"/>
        </w:rPr>
      </w:pPr>
      <w:r>
        <w:fldChar w:fldCharType="begin"/>
      </w:r>
      <w:r>
        <w:instrText xml:space="preserve"> HYPERLINK \l "_Toc2686" </w:instrText>
      </w:r>
      <w:r>
        <w:fldChar w:fldCharType="separate"/>
      </w:r>
      <w:r>
        <w:rPr>
          <w:rFonts w:hint="eastAsia" w:ascii="仿宋" w:hAnsi="仿宋" w:eastAsia="仿宋" w:cs="仿宋"/>
          <w:sz w:val="24"/>
          <w:szCs w:val="24"/>
          <w:lang w:eastAsia="zh-CN"/>
        </w:rPr>
        <w:t>正文</w:t>
      </w:r>
      <w:r>
        <w:rPr>
          <w:rFonts w:hint="eastAsia" w:ascii="仿宋" w:hAnsi="仿宋" w:eastAsia="仿宋" w:cs="仿宋"/>
          <w:sz w:val="24"/>
          <w:szCs w:val="24"/>
        </w:rPr>
        <w:tab/>
      </w:r>
      <w:r>
        <w:rPr>
          <w:rFonts w:hint="eastAsia" w:ascii="仿宋" w:hAnsi="仿宋" w:eastAsia="仿宋" w:cs="仿宋"/>
          <w:sz w:val="24"/>
          <w:szCs w:val="24"/>
          <w:lang w:eastAsia="zh-CN"/>
        </w:rPr>
        <w:t>7</w:t>
      </w:r>
      <w:r>
        <w:rPr>
          <w:rFonts w:hint="eastAsia" w:ascii="仿宋" w:hAnsi="仿宋" w:eastAsia="仿宋" w:cs="仿宋"/>
          <w:sz w:val="24"/>
          <w:szCs w:val="24"/>
          <w:lang w:eastAsia="zh-CN"/>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"_Toc3382" </w:instrText>
      </w:r>
      <w:r>
        <w:fldChar w:fldCharType="separate"/>
      </w:r>
      <w:r>
        <w:rPr>
          <w:rFonts w:hint="eastAsia" w:ascii="仿宋" w:hAnsi="仿宋" w:eastAsia="仿宋" w:cs="仿宋"/>
          <w:sz w:val="24"/>
          <w:szCs w:val="24"/>
          <w:lang w:eastAsia="zh-CN"/>
        </w:rPr>
        <w:t>一、项目基本情况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_Toc3382 </w:instrText>
      </w:r>
      <w:r>
        <w:rPr>
          <w:rFonts w:hint="eastAsia" w:ascii="仿宋" w:hAnsi="仿宋" w:eastAsia="仿宋" w:cs="仿宋"/>
          <w:sz w:val="24"/>
          <w:szCs w:val="24"/>
        </w:rPr>
        <w:fldChar w:fldCharType="separate"/>
      </w:r>
      <w:r>
        <w:rPr>
          <w:rFonts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"_Toc24553" </w:instrText>
      </w:r>
      <w:r>
        <w:fldChar w:fldCharType="separate"/>
      </w:r>
      <w:r>
        <w:rPr>
          <w:rFonts w:hint="eastAsia" w:ascii="仿宋" w:hAnsi="仿宋" w:eastAsia="仿宋" w:cs="仿宋"/>
          <w:sz w:val="24"/>
          <w:szCs w:val="24"/>
          <w:lang w:eastAsia="zh-CN"/>
        </w:rPr>
        <w:t>（一）基本情况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_Toc24553 </w:instrText>
      </w:r>
      <w:r>
        <w:rPr>
          <w:rFonts w:hint="eastAsia" w:ascii="仿宋" w:hAnsi="仿宋" w:eastAsia="仿宋" w:cs="仿宋"/>
          <w:sz w:val="24"/>
          <w:szCs w:val="24"/>
        </w:rPr>
        <w:fldChar w:fldCharType="separate"/>
      </w:r>
      <w:r>
        <w:rPr>
          <w:rFonts w:ascii="仿宋" w:hAnsi="仿宋" w:eastAsia="仿宋" w:cs="仿宋"/>
          <w:sz w:val="24"/>
          <w:szCs w:val="24"/>
        </w:rPr>
        <w:t>7</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"_Toc18223" </w:instrText>
      </w:r>
      <w:r>
        <w:fldChar w:fldCharType="separate"/>
      </w:r>
      <w:r>
        <w:rPr>
          <w:rFonts w:hint="eastAsia" w:ascii="仿宋" w:hAnsi="仿宋" w:eastAsia="仿宋" w:cs="仿宋"/>
          <w:sz w:val="24"/>
          <w:szCs w:val="24"/>
          <w:lang w:eastAsia="zh-CN"/>
        </w:rPr>
        <w:t>（二）项目绩效目标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_Toc18223 </w:instrText>
      </w:r>
      <w:r>
        <w:rPr>
          <w:rFonts w:hint="eastAsia" w:ascii="仿宋" w:hAnsi="仿宋" w:eastAsia="仿宋" w:cs="仿宋"/>
          <w:sz w:val="24"/>
          <w:szCs w:val="24"/>
        </w:rPr>
        <w:fldChar w:fldCharType="separate"/>
      </w:r>
      <w:r>
        <w:rPr>
          <w:rFonts w:ascii="仿宋" w:hAnsi="仿宋" w:eastAsia="仿宋" w:cs="仿宋"/>
          <w:sz w:val="24"/>
          <w:szCs w:val="24"/>
        </w:rPr>
        <w:t>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"_Toc25458" </w:instrText>
      </w:r>
      <w:r>
        <w:fldChar w:fldCharType="separate"/>
      </w:r>
      <w:r>
        <w:rPr>
          <w:rFonts w:hint="eastAsia" w:ascii="仿宋" w:hAnsi="仿宋" w:eastAsia="仿宋" w:cs="仿宋"/>
          <w:sz w:val="24"/>
          <w:szCs w:val="24"/>
          <w:lang w:eastAsia="zh-CN"/>
        </w:rPr>
        <w:t>二、项目评价工作情况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_Toc25458 </w:instrText>
      </w:r>
      <w:r>
        <w:rPr>
          <w:rFonts w:hint="eastAsia" w:ascii="仿宋" w:hAnsi="仿宋" w:eastAsia="仿宋" w:cs="仿宋"/>
          <w:sz w:val="24"/>
          <w:szCs w:val="24"/>
        </w:rPr>
        <w:fldChar w:fldCharType="separate"/>
      </w:r>
      <w:r>
        <w:rPr>
          <w:rFonts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"_Toc2009" </w:instrText>
      </w:r>
      <w:r>
        <w:fldChar w:fldCharType="separate"/>
      </w:r>
      <w:r>
        <w:rPr>
          <w:rFonts w:hint="eastAsia" w:ascii="仿宋" w:hAnsi="仿宋" w:eastAsia="仿宋" w:cs="仿宋"/>
          <w:sz w:val="24"/>
          <w:szCs w:val="24"/>
          <w:lang w:eastAsia="zh-CN"/>
        </w:rPr>
        <w:t>（一）绩效评价目的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_Toc2009 </w:instrText>
      </w:r>
      <w:r>
        <w:rPr>
          <w:rFonts w:hint="eastAsia" w:ascii="仿宋" w:hAnsi="仿宋" w:eastAsia="仿宋" w:cs="仿宋"/>
          <w:sz w:val="24"/>
          <w:szCs w:val="24"/>
        </w:rPr>
        <w:fldChar w:fldCharType="separate"/>
      </w:r>
      <w:r>
        <w:rPr>
          <w:rFonts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"_Toc8387" </w:instrText>
      </w:r>
      <w:r>
        <w:fldChar w:fldCharType="separate"/>
      </w:r>
      <w:r>
        <w:rPr>
          <w:rFonts w:hint="eastAsia" w:ascii="仿宋" w:hAnsi="仿宋" w:eastAsia="仿宋" w:cs="仿宋"/>
          <w:sz w:val="24"/>
          <w:szCs w:val="24"/>
          <w:lang w:eastAsia="zh-CN"/>
        </w:rPr>
        <w:t>（二）绩效评价原则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_Toc8387 </w:instrText>
      </w:r>
      <w:r>
        <w:rPr>
          <w:rFonts w:hint="eastAsia" w:ascii="仿宋" w:hAnsi="仿宋" w:eastAsia="仿宋" w:cs="仿宋"/>
          <w:sz w:val="24"/>
          <w:szCs w:val="24"/>
        </w:rPr>
        <w:fldChar w:fldCharType="separate"/>
      </w:r>
      <w:r>
        <w:rPr>
          <w:rFonts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"_Toc11930" </w:instrText>
      </w:r>
      <w:r>
        <w:fldChar w:fldCharType="separate"/>
      </w:r>
      <w:r>
        <w:rPr>
          <w:rFonts w:hint="eastAsia" w:ascii="仿宋" w:hAnsi="仿宋" w:eastAsia="仿宋" w:cs="仿宋"/>
          <w:sz w:val="24"/>
          <w:szCs w:val="24"/>
          <w:lang w:eastAsia="zh-CN"/>
        </w:rPr>
        <w:t>（三）评价指标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_Toc11930 </w:instrText>
      </w:r>
      <w:r>
        <w:rPr>
          <w:rFonts w:hint="eastAsia" w:ascii="仿宋" w:hAnsi="仿宋" w:eastAsia="仿宋" w:cs="仿宋"/>
          <w:sz w:val="24"/>
          <w:szCs w:val="24"/>
        </w:rPr>
        <w:fldChar w:fldCharType="separate"/>
      </w:r>
      <w:r>
        <w:rPr>
          <w:rFonts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"_Toc31362" </w:instrText>
      </w:r>
      <w:r>
        <w:fldChar w:fldCharType="separate"/>
      </w:r>
      <w:r>
        <w:rPr>
          <w:rFonts w:hint="eastAsia" w:ascii="仿宋" w:hAnsi="仿宋" w:eastAsia="仿宋" w:cs="仿宋"/>
          <w:sz w:val="24"/>
          <w:szCs w:val="24"/>
          <w:lang w:eastAsia="zh-CN"/>
        </w:rPr>
        <w:t>（四）评价的组织情况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_Toc31362 </w:instrText>
      </w:r>
      <w:r>
        <w:rPr>
          <w:rFonts w:hint="eastAsia" w:ascii="仿宋" w:hAnsi="仿宋" w:eastAsia="仿宋" w:cs="仿宋"/>
          <w:sz w:val="24"/>
          <w:szCs w:val="24"/>
        </w:rPr>
        <w:fldChar w:fldCharType="separate"/>
      </w:r>
      <w:r>
        <w:rPr>
          <w:rFonts w:ascii="仿宋" w:hAnsi="仿宋" w:eastAsia="仿宋" w:cs="仿宋"/>
          <w:sz w:val="24"/>
          <w:szCs w:val="24"/>
        </w:rPr>
        <w:t>14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"_Toc30961" </w:instrText>
      </w:r>
      <w:r>
        <w:fldChar w:fldCharType="separate"/>
      </w:r>
      <w:r>
        <w:rPr>
          <w:rFonts w:hint="eastAsia" w:ascii="仿宋" w:hAnsi="仿宋" w:eastAsia="仿宋" w:cs="仿宋"/>
          <w:sz w:val="24"/>
          <w:szCs w:val="24"/>
          <w:lang w:eastAsia="zh-CN"/>
        </w:rPr>
        <w:t>（五）时间安排</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_Toc30961 </w:instrText>
      </w:r>
      <w:r>
        <w:rPr>
          <w:rFonts w:hint="eastAsia" w:ascii="仿宋" w:hAnsi="仿宋" w:eastAsia="仿宋" w:cs="仿宋"/>
          <w:sz w:val="24"/>
          <w:szCs w:val="24"/>
        </w:rPr>
        <w:fldChar w:fldCharType="separate"/>
      </w:r>
      <w:r>
        <w:rPr>
          <w:rFonts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"_Toc20447" </w:instrText>
      </w:r>
      <w:r>
        <w:fldChar w:fldCharType="separate"/>
      </w:r>
      <w:r>
        <w:rPr>
          <w:rFonts w:hint="eastAsia" w:ascii="仿宋" w:hAnsi="仿宋" w:eastAsia="仿宋" w:cs="仿宋"/>
          <w:sz w:val="24"/>
          <w:szCs w:val="24"/>
          <w:lang w:eastAsia="zh-CN"/>
        </w:rPr>
        <w:t>（六）评价对象及方法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_Toc20447 </w:instrText>
      </w:r>
      <w:r>
        <w:rPr>
          <w:rFonts w:hint="eastAsia" w:ascii="仿宋" w:hAnsi="仿宋" w:eastAsia="仿宋" w:cs="仿宋"/>
          <w:sz w:val="24"/>
          <w:szCs w:val="24"/>
        </w:rPr>
        <w:fldChar w:fldCharType="separate"/>
      </w:r>
      <w:r>
        <w:rPr>
          <w:rFonts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"_Toc10831" </w:instrText>
      </w:r>
      <w:r>
        <w:fldChar w:fldCharType="separate"/>
      </w:r>
      <w:r>
        <w:rPr>
          <w:rFonts w:hint="eastAsia" w:ascii="仿宋" w:hAnsi="仿宋" w:eastAsia="仿宋" w:cs="仿宋"/>
          <w:sz w:val="24"/>
          <w:szCs w:val="24"/>
          <w:lang w:eastAsia="zh-CN"/>
        </w:rPr>
        <w:t>（七）绩效评价工作过程</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_Toc10831 </w:instrText>
      </w:r>
      <w:r>
        <w:rPr>
          <w:rFonts w:hint="eastAsia" w:ascii="仿宋" w:hAnsi="仿宋" w:eastAsia="仿宋" w:cs="仿宋"/>
          <w:sz w:val="24"/>
          <w:szCs w:val="24"/>
        </w:rPr>
        <w:fldChar w:fldCharType="separate"/>
      </w:r>
      <w:r>
        <w:rPr>
          <w:rFonts w:ascii="仿宋" w:hAnsi="仿宋" w:eastAsia="仿宋" w:cs="仿宋"/>
          <w:sz w:val="24"/>
          <w:szCs w:val="24"/>
        </w:rPr>
        <w:t>16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"_Toc15235" </w:instrText>
      </w:r>
      <w:r>
        <w:fldChar w:fldCharType="separate"/>
      </w:r>
      <w:r>
        <w:rPr>
          <w:rFonts w:hint="eastAsia" w:ascii="仿宋" w:hAnsi="仿宋" w:eastAsia="仿宋" w:cs="仿宋"/>
          <w:sz w:val="24"/>
          <w:szCs w:val="24"/>
          <w:lang w:eastAsia="zh-CN"/>
        </w:rPr>
        <w:t>（八）绩效评价依据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_Toc15235 </w:instrText>
      </w:r>
      <w:r>
        <w:rPr>
          <w:rFonts w:hint="eastAsia" w:ascii="仿宋" w:hAnsi="仿宋" w:eastAsia="仿宋" w:cs="仿宋"/>
          <w:sz w:val="24"/>
          <w:szCs w:val="24"/>
        </w:rPr>
        <w:fldChar w:fldCharType="separate"/>
      </w:r>
      <w:r>
        <w:rPr>
          <w:rFonts w:ascii="仿宋" w:hAnsi="仿宋" w:eastAsia="仿宋" w:cs="仿宋"/>
          <w:sz w:val="24"/>
          <w:szCs w:val="24"/>
        </w:rPr>
        <w:t>19</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"_Toc11216" </w:instrText>
      </w:r>
      <w:r>
        <w:fldChar w:fldCharType="separate"/>
      </w:r>
      <w:r>
        <w:rPr>
          <w:rFonts w:hint="eastAsia" w:ascii="仿宋" w:hAnsi="仿宋" w:eastAsia="仿宋" w:cs="仿宋"/>
          <w:sz w:val="24"/>
          <w:szCs w:val="24"/>
          <w:lang w:eastAsia="zh-CN"/>
        </w:rPr>
        <w:t>三、项目资金管理及使用情况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_Toc11216 </w:instrText>
      </w:r>
      <w:r>
        <w:rPr>
          <w:rFonts w:hint="eastAsia" w:ascii="仿宋" w:hAnsi="仿宋" w:eastAsia="仿宋" w:cs="仿宋"/>
          <w:sz w:val="24"/>
          <w:szCs w:val="24"/>
        </w:rPr>
        <w:fldChar w:fldCharType="separate"/>
      </w:r>
      <w:r>
        <w:rPr>
          <w:rFonts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"_Toc7904" </w:instrText>
      </w:r>
      <w:r>
        <w:fldChar w:fldCharType="separate"/>
      </w:r>
      <w:r>
        <w:rPr>
          <w:rFonts w:hint="eastAsia" w:ascii="仿宋" w:hAnsi="仿宋" w:eastAsia="仿宋" w:cs="仿宋"/>
          <w:sz w:val="24"/>
          <w:szCs w:val="24"/>
          <w:lang w:eastAsia="zh-CN"/>
        </w:rPr>
        <w:t>（一）资金管理方面</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_Toc7904 </w:instrText>
      </w:r>
      <w:r>
        <w:rPr>
          <w:rFonts w:hint="eastAsia" w:ascii="仿宋" w:hAnsi="仿宋" w:eastAsia="仿宋" w:cs="仿宋"/>
          <w:sz w:val="24"/>
          <w:szCs w:val="24"/>
        </w:rPr>
        <w:fldChar w:fldCharType="separate"/>
      </w:r>
      <w:r>
        <w:rPr>
          <w:rFonts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"_Toc10938" </w:instrText>
      </w:r>
      <w:r>
        <w:fldChar w:fldCharType="separate"/>
      </w:r>
      <w:r>
        <w:rPr>
          <w:rFonts w:hint="eastAsia" w:ascii="仿宋" w:hAnsi="仿宋" w:eastAsia="仿宋" w:cs="仿宋"/>
          <w:sz w:val="24"/>
          <w:szCs w:val="24"/>
          <w:lang w:eastAsia="zh-CN"/>
        </w:rPr>
        <w:t>（二）资金使用方面</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_Toc10938 </w:instrText>
      </w:r>
      <w:r>
        <w:rPr>
          <w:rFonts w:hint="eastAsia" w:ascii="仿宋" w:hAnsi="仿宋" w:eastAsia="仿宋" w:cs="仿宋"/>
          <w:sz w:val="24"/>
          <w:szCs w:val="24"/>
        </w:rPr>
        <w:fldChar w:fldCharType="separate"/>
      </w:r>
      <w:r>
        <w:rPr>
          <w:rFonts w:ascii="仿宋" w:hAnsi="仿宋" w:eastAsia="仿宋" w:cs="仿宋"/>
          <w:sz w:val="24"/>
          <w:szCs w:val="24"/>
        </w:rPr>
        <w:t>21</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"_Toc1342" </w:instrText>
      </w:r>
      <w:r>
        <w:fldChar w:fldCharType="separate"/>
      </w:r>
      <w:r>
        <w:rPr>
          <w:rFonts w:hint="eastAsia" w:ascii="仿宋" w:hAnsi="仿宋" w:eastAsia="仿宋" w:cs="仿宋"/>
          <w:sz w:val="24"/>
          <w:szCs w:val="24"/>
          <w:lang w:eastAsia="zh-CN"/>
        </w:rPr>
        <w:t>四、项目组织实施情况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_Toc1342 </w:instrText>
      </w:r>
      <w:r>
        <w:rPr>
          <w:rFonts w:hint="eastAsia" w:ascii="仿宋" w:hAnsi="仿宋" w:eastAsia="仿宋" w:cs="仿宋"/>
          <w:sz w:val="24"/>
          <w:szCs w:val="24"/>
        </w:rPr>
        <w:fldChar w:fldCharType="separate"/>
      </w:r>
      <w:r>
        <w:rPr>
          <w:rFonts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"_Toc13287" </w:instrText>
      </w:r>
      <w:r>
        <w:fldChar w:fldCharType="separate"/>
      </w:r>
      <w:r>
        <w:rPr>
          <w:rFonts w:hint="eastAsia" w:ascii="仿宋" w:hAnsi="仿宋" w:eastAsia="仿宋" w:cs="仿宋"/>
          <w:sz w:val="24"/>
          <w:szCs w:val="24"/>
          <w:lang w:eastAsia="zh-CN"/>
        </w:rPr>
        <w:t>（一）项目组织及管理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_Toc13287 </w:instrText>
      </w:r>
      <w:r>
        <w:rPr>
          <w:rFonts w:hint="eastAsia" w:ascii="仿宋" w:hAnsi="仿宋" w:eastAsia="仿宋" w:cs="仿宋"/>
          <w:sz w:val="24"/>
          <w:szCs w:val="24"/>
        </w:rPr>
        <w:fldChar w:fldCharType="separate"/>
      </w:r>
      <w:r>
        <w:rPr>
          <w:rFonts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"_Toc1019" </w:instrText>
      </w:r>
      <w:r>
        <w:fldChar w:fldCharType="separate"/>
      </w:r>
      <w:r>
        <w:rPr>
          <w:rFonts w:hint="eastAsia" w:ascii="仿宋" w:hAnsi="仿宋" w:eastAsia="仿宋" w:cs="仿宋"/>
          <w:sz w:val="24"/>
          <w:szCs w:val="24"/>
          <w:lang w:eastAsia="zh-CN"/>
        </w:rPr>
        <w:t>（二）项目工程实施</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_Toc1019 </w:instrText>
      </w:r>
      <w:r>
        <w:rPr>
          <w:rFonts w:hint="eastAsia" w:ascii="仿宋" w:hAnsi="仿宋" w:eastAsia="仿宋" w:cs="仿宋"/>
          <w:sz w:val="24"/>
          <w:szCs w:val="24"/>
        </w:rPr>
        <w:fldChar w:fldCharType="separate"/>
      </w:r>
      <w:r>
        <w:rPr>
          <w:rFonts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"_Toc31621" </w:instrText>
      </w:r>
      <w:r>
        <w:fldChar w:fldCharType="separate"/>
      </w:r>
      <w:r>
        <w:rPr>
          <w:rFonts w:hint="eastAsia" w:ascii="仿宋" w:hAnsi="仿宋" w:eastAsia="仿宋" w:cs="仿宋"/>
          <w:sz w:val="24"/>
          <w:szCs w:val="24"/>
          <w:lang w:eastAsia="zh-CN"/>
        </w:rPr>
        <w:t>五、项目绩效情况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_Toc31621 </w:instrText>
      </w:r>
      <w:r>
        <w:rPr>
          <w:rFonts w:hint="eastAsia" w:ascii="仿宋" w:hAnsi="仿宋" w:eastAsia="仿宋" w:cs="仿宋"/>
          <w:sz w:val="24"/>
          <w:szCs w:val="24"/>
        </w:rPr>
        <w:fldChar w:fldCharType="separate"/>
      </w:r>
      <w:r>
        <w:rPr>
          <w:rFonts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"_Toc10695" </w:instrText>
      </w:r>
      <w:r>
        <w:fldChar w:fldCharType="separate"/>
      </w:r>
      <w:r>
        <w:rPr>
          <w:rFonts w:hint="eastAsia" w:ascii="仿宋" w:hAnsi="仿宋" w:eastAsia="仿宋" w:cs="仿宋"/>
          <w:sz w:val="24"/>
          <w:szCs w:val="24"/>
          <w:lang w:eastAsia="zh-CN"/>
        </w:rPr>
        <w:t>（一）项目决策（20.00分）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_Toc10695 </w:instrText>
      </w:r>
      <w:r>
        <w:rPr>
          <w:rFonts w:hint="eastAsia" w:ascii="仿宋" w:hAnsi="仿宋" w:eastAsia="仿宋" w:cs="仿宋"/>
          <w:sz w:val="24"/>
          <w:szCs w:val="24"/>
        </w:rPr>
        <w:fldChar w:fldCharType="separate"/>
      </w:r>
      <w:r>
        <w:rPr>
          <w:rFonts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"_Toc15313" </w:instrText>
      </w:r>
      <w:r>
        <w:fldChar w:fldCharType="separate"/>
      </w:r>
      <w:r>
        <w:rPr>
          <w:rFonts w:hint="eastAsia" w:ascii="仿宋" w:hAnsi="仿宋" w:eastAsia="仿宋" w:cs="仿宋"/>
          <w:sz w:val="24"/>
          <w:szCs w:val="24"/>
          <w:lang w:eastAsia="zh-CN"/>
        </w:rPr>
        <w:t>（二）项目管理（30.00分）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_Toc15313 </w:instrText>
      </w:r>
      <w:r>
        <w:rPr>
          <w:rFonts w:hint="eastAsia" w:ascii="仿宋" w:hAnsi="仿宋" w:eastAsia="仿宋" w:cs="仿宋"/>
          <w:sz w:val="24"/>
          <w:szCs w:val="24"/>
        </w:rPr>
        <w:fldChar w:fldCharType="separate"/>
      </w:r>
      <w:r>
        <w:rPr>
          <w:rFonts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"_Toc23795" </w:instrText>
      </w:r>
      <w:r>
        <w:fldChar w:fldCharType="separate"/>
      </w:r>
      <w:r>
        <w:rPr>
          <w:rFonts w:hint="eastAsia" w:ascii="仿宋" w:hAnsi="仿宋" w:eastAsia="仿宋" w:cs="仿宋"/>
          <w:sz w:val="24"/>
          <w:szCs w:val="24"/>
          <w:lang w:eastAsia="zh-CN"/>
        </w:rPr>
        <w:t>（三）项目绩效（50.00分）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_Toc23795 </w:instrText>
      </w:r>
      <w:r>
        <w:rPr>
          <w:rFonts w:hint="eastAsia" w:ascii="仿宋" w:hAnsi="仿宋" w:eastAsia="仿宋" w:cs="仿宋"/>
          <w:sz w:val="24"/>
          <w:szCs w:val="24"/>
        </w:rPr>
        <w:fldChar w:fldCharType="separate"/>
      </w:r>
      <w:r>
        <w:rPr>
          <w:rFonts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"_Toc10939" </w:instrText>
      </w:r>
      <w:r>
        <w:fldChar w:fldCharType="separate"/>
      </w:r>
      <w:r>
        <w:rPr>
          <w:rFonts w:hint="eastAsia" w:ascii="仿宋" w:hAnsi="仿宋" w:eastAsia="仿宋" w:cs="仿宋"/>
          <w:sz w:val="24"/>
          <w:szCs w:val="24"/>
          <w:lang w:eastAsia="zh-CN"/>
        </w:rPr>
        <w:t>六、项目绩效评价结论及分析</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_Toc10939 </w:instrText>
      </w:r>
      <w:r>
        <w:rPr>
          <w:rFonts w:hint="eastAsia" w:ascii="仿宋" w:hAnsi="仿宋" w:eastAsia="仿宋" w:cs="仿宋"/>
          <w:sz w:val="24"/>
          <w:szCs w:val="24"/>
        </w:rPr>
        <w:fldChar w:fldCharType="separate"/>
      </w:r>
      <w:r>
        <w:rPr>
          <w:rFonts w:ascii="仿宋" w:hAnsi="仿宋" w:eastAsia="仿宋" w:cs="仿宋"/>
          <w:sz w:val="24"/>
          <w:szCs w:val="24"/>
        </w:rPr>
        <w:t>34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"_Toc18698" </w:instrText>
      </w:r>
      <w:r>
        <w:fldChar w:fldCharType="separate"/>
      </w:r>
      <w:r>
        <w:rPr>
          <w:rFonts w:hint="eastAsia" w:ascii="仿宋" w:hAnsi="仿宋" w:eastAsia="仿宋" w:cs="仿宋"/>
          <w:sz w:val="24"/>
          <w:szCs w:val="24"/>
          <w:lang w:eastAsia="zh-CN"/>
        </w:rPr>
        <w:t>七、其他需要说明及存在的问题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_Toc18698 </w:instrText>
      </w:r>
      <w:r>
        <w:rPr>
          <w:rFonts w:hint="eastAsia" w:ascii="仿宋" w:hAnsi="仿宋" w:eastAsia="仿宋" w:cs="仿宋"/>
          <w:sz w:val="24"/>
          <w:szCs w:val="24"/>
        </w:rPr>
        <w:fldChar w:fldCharType="separate"/>
      </w:r>
      <w:r>
        <w:rPr>
          <w:rFonts w:ascii="仿宋" w:hAnsi="仿宋" w:eastAsia="仿宋" w:cs="仿宋"/>
          <w:sz w:val="24"/>
          <w:szCs w:val="24"/>
        </w:rPr>
        <w:t>35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"_Toc17812" </w:instrText>
      </w:r>
      <w:r>
        <w:fldChar w:fldCharType="separate"/>
      </w:r>
      <w:r>
        <w:rPr>
          <w:rFonts w:hint="eastAsia" w:ascii="仿宋" w:hAnsi="仿宋" w:eastAsia="仿宋" w:cs="仿宋"/>
          <w:sz w:val="24"/>
          <w:szCs w:val="24"/>
          <w:lang w:eastAsia="zh-CN"/>
        </w:rPr>
        <w:t>（一）评价局限性</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_Toc17812 </w:instrText>
      </w:r>
      <w:r>
        <w:rPr>
          <w:rFonts w:hint="eastAsia" w:ascii="仿宋" w:hAnsi="仿宋" w:eastAsia="仿宋" w:cs="仿宋"/>
          <w:sz w:val="24"/>
          <w:szCs w:val="24"/>
        </w:rPr>
        <w:fldChar w:fldCharType="separate"/>
      </w:r>
      <w:r>
        <w:rPr>
          <w:rFonts w:ascii="仿宋" w:hAnsi="仿宋" w:eastAsia="仿宋" w:cs="仿宋"/>
          <w:sz w:val="24"/>
          <w:szCs w:val="24"/>
        </w:rPr>
        <w:t>35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"_Toc15943" </w:instrText>
      </w:r>
      <w:r>
        <w:fldChar w:fldCharType="separate"/>
      </w:r>
      <w:r>
        <w:rPr>
          <w:rFonts w:hint="eastAsia" w:ascii="仿宋" w:hAnsi="仿宋" w:eastAsia="仿宋" w:cs="仿宋"/>
          <w:sz w:val="24"/>
          <w:szCs w:val="24"/>
          <w:lang w:eastAsia="zh-CN"/>
        </w:rPr>
        <w:t>（二）存在的问题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_Toc15943 </w:instrText>
      </w:r>
      <w:r>
        <w:rPr>
          <w:rFonts w:hint="eastAsia" w:ascii="仿宋" w:hAnsi="仿宋" w:eastAsia="仿宋" w:cs="仿宋"/>
          <w:sz w:val="24"/>
          <w:szCs w:val="24"/>
        </w:rPr>
        <w:fldChar w:fldCharType="separate"/>
      </w:r>
      <w:r>
        <w:rPr>
          <w:rFonts w:ascii="仿宋" w:hAnsi="仿宋" w:eastAsia="仿宋" w:cs="仿宋"/>
          <w:sz w:val="24"/>
          <w:szCs w:val="24"/>
        </w:rPr>
        <w:t>35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11"/>
        <w:tabs>
          <w:tab w:val="right" w:leader="dot" w:pos="8306"/>
        </w:tabs>
        <w:ind w:left="560"/>
        <w:rPr>
          <w:rFonts w:ascii="仿宋" w:hAnsi="仿宋" w:eastAsia="仿宋" w:cs="仿宋"/>
          <w:sz w:val="24"/>
          <w:szCs w:val="24"/>
        </w:rPr>
      </w:pPr>
      <w:r>
        <w:fldChar w:fldCharType="begin"/>
      </w:r>
      <w:r>
        <w:instrText xml:space="preserve"> HYPERLINK \l "_Toc27438" </w:instrText>
      </w:r>
      <w:r>
        <w:fldChar w:fldCharType="separate"/>
      </w:r>
      <w:r>
        <w:rPr>
          <w:rFonts w:hint="eastAsia" w:ascii="仿宋" w:hAnsi="仿宋" w:eastAsia="仿宋" w:cs="仿宋"/>
          <w:sz w:val="24"/>
          <w:szCs w:val="24"/>
          <w:lang w:eastAsia="zh-CN"/>
        </w:rPr>
        <w:t>（三）建议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_Toc27438 </w:instrText>
      </w:r>
      <w:r>
        <w:rPr>
          <w:rFonts w:hint="eastAsia" w:ascii="仿宋" w:hAnsi="仿宋" w:eastAsia="仿宋" w:cs="仿宋"/>
          <w:sz w:val="24"/>
          <w:szCs w:val="24"/>
        </w:rPr>
        <w:fldChar w:fldCharType="separate"/>
      </w:r>
      <w:r>
        <w:rPr>
          <w:rFonts w:ascii="仿宋" w:hAnsi="仿宋" w:eastAsia="仿宋" w:cs="仿宋"/>
          <w:sz w:val="24"/>
          <w:szCs w:val="24"/>
        </w:rPr>
        <w:t>36</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"_Toc14759" </w:instrText>
      </w:r>
      <w:r>
        <w:fldChar w:fldCharType="separate"/>
      </w:r>
      <w:r>
        <w:rPr>
          <w:rFonts w:hint="eastAsia" w:ascii="仿宋" w:hAnsi="仿宋" w:eastAsia="仿宋" w:cs="仿宋"/>
          <w:sz w:val="24"/>
          <w:szCs w:val="24"/>
          <w:lang w:eastAsia="zh-CN"/>
        </w:rPr>
        <w:t>附件1：调查问卷（样卷）</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_Toc14759 </w:instrText>
      </w:r>
      <w:r>
        <w:rPr>
          <w:rFonts w:hint="eastAsia" w:ascii="仿宋" w:hAnsi="仿宋" w:eastAsia="仿宋" w:cs="仿宋"/>
          <w:sz w:val="24"/>
          <w:szCs w:val="24"/>
        </w:rPr>
        <w:fldChar w:fldCharType="separate"/>
      </w:r>
      <w:r>
        <w:rPr>
          <w:rFonts w:ascii="仿宋" w:hAnsi="仿宋" w:eastAsia="仿宋" w:cs="仿宋"/>
          <w:sz w:val="24"/>
          <w:szCs w:val="24"/>
        </w:rPr>
        <w:t>38</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9"/>
        <w:tabs>
          <w:tab w:val="right" w:leader="dot" w:pos="8306"/>
        </w:tabs>
        <w:rPr>
          <w:rFonts w:ascii="仿宋" w:hAnsi="仿宋" w:eastAsia="仿宋" w:cs="仿宋"/>
          <w:sz w:val="24"/>
          <w:szCs w:val="24"/>
        </w:rPr>
      </w:pPr>
      <w:r>
        <w:fldChar w:fldCharType="begin"/>
      </w:r>
      <w:r>
        <w:instrText xml:space="preserve"> HYPERLINK \l "_Toc16419" </w:instrText>
      </w:r>
      <w:r>
        <w:fldChar w:fldCharType="separate"/>
      </w:r>
      <w:r>
        <w:rPr>
          <w:rFonts w:hint="eastAsia" w:ascii="仿宋" w:hAnsi="仿宋" w:eastAsia="仿宋" w:cs="仿宋"/>
          <w:sz w:val="24"/>
          <w:szCs w:val="24"/>
          <w:lang w:eastAsia="zh-CN"/>
        </w:rPr>
        <w:t>附件2：指标体系及评分明细</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_Toc16419 </w:instrText>
      </w:r>
      <w:r>
        <w:rPr>
          <w:rFonts w:hint="eastAsia" w:ascii="仿宋" w:hAnsi="仿宋" w:eastAsia="仿宋" w:cs="仿宋"/>
          <w:sz w:val="24"/>
          <w:szCs w:val="24"/>
        </w:rPr>
        <w:fldChar w:fldCharType="separate"/>
      </w:r>
      <w:r>
        <w:rPr>
          <w:rFonts w:ascii="仿宋" w:hAnsi="仿宋" w:eastAsia="仿宋" w:cs="仿宋"/>
          <w:sz w:val="24"/>
          <w:szCs w:val="24"/>
        </w:rPr>
        <w:t>42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spacing w:line="480" w:lineRule="auto"/>
        <w:rPr>
          <w:rFonts w:ascii="仿宋" w:hAnsi="仿宋" w:eastAsia="仿宋" w:cs="仿宋"/>
          <w:b/>
          <w:bCs/>
          <w:sz w:val="24"/>
          <w:szCs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lang w:eastAsia="zh-CN"/>
        </w:rPr>
        <w:fldChar w:fldCharType="end"/>
      </w:r>
    </w:p>
    <w:bookmarkEnd w:id="0"/>
    <w:bookmarkEnd w:id="1"/>
    <w:p>
      <w:pPr>
        <w:pStyle w:val="2"/>
        <w:spacing w:before="31" w:after="31"/>
        <w:jc w:val="center"/>
        <w:rPr>
          <w:sz w:val="32"/>
          <w:szCs w:val="32"/>
          <w:lang w:eastAsia="zh-CN"/>
        </w:rPr>
      </w:pPr>
      <w:bookmarkStart w:id="10" w:name="_Toc2686"/>
      <w:bookmarkStart w:id="11" w:name="_Toc22860"/>
      <w:bookmarkStart w:id="12" w:name="_Toc29786"/>
      <w:bookmarkStart w:id="13" w:name="_Toc11510"/>
      <w:r>
        <w:rPr>
          <w:rFonts w:hint="eastAsia"/>
          <w:sz w:val="32"/>
          <w:szCs w:val="32"/>
          <w:lang w:eastAsia="zh-CN"/>
        </w:rPr>
        <w:t>摘要</w:t>
      </w:r>
      <w:bookmarkEnd w:id="10"/>
      <w:bookmarkEnd w:id="11"/>
      <w:bookmarkEnd w:id="12"/>
      <w:bookmarkEnd w:id="13"/>
    </w:p>
    <w:p>
      <w:pPr>
        <w:keepNext/>
        <w:keepLines/>
        <w:spacing w:after="0" w:line="480" w:lineRule="auto"/>
        <w:jc w:val="both"/>
        <w:rPr>
          <w:rFonts w:ascii="仿宋" w:hAnsi="仿宋" w:eastAsia="仿宋" w:cs="仿宋"/>
          <w:b/>
          <w:szCs w:val="28"/>
          <w:lang w:eastAsia="zh-CN"/>
        </w:rPr>
      </w:pPr>
      <w:r>
        <w:rPr>
          <w:rFonts w:hint="eastAsia" w:ascii="仿宋" w:hAnsi="仿宋" w:eastAsia="仿宋" w:cs="仿宋"/>
          <w:b/>
          <w:szCs w:val="28"/>
          <w:lang w:eastAsia="zh-CN"/>
        </w:rPr>
        <w:t>一、概述</w:t>
      </w:r>
      <w:bookmarkEnd w:id="2"/>
      <w:bookmarkEnd w:id="3"/>
      <w:bookmarkEnd w:id="4"/>
      <w:bookmarkEnd w:id="5"/>
      <w:bookmarkEnd w:id="6"/>
      <w:bookmarkEnd w:id="7"/>
      <w:bookmarkEnd w:id="8"/>
      <w:bookmarkEnd w:id="9"/>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政务服务中心是在政府领导下由政府相关部门共同组成的具有行政审批和公共服务职能的行政机构。在新形势下进一步加强政务服务中心业务用房建设，是全面落实科学发展观、加快转变政府职能的迫切需要，是加强权力监督、从源头上预防和治理腐败的有效途径，是建设法治政府、效率政府、服务型政府的重要举措。因此，为了促进政府职能转变，方便群众办事，建立服务型政府、阳光政府、高效政府，忻州市人民政府办公厅根据《山西省委办公厅关于印发&lt;山西省政府服务平台建设总体方案&gt;的通知》（晋办发〔2015〕32号）、《忻州市人民政府关于印发&lt;忻州市全力加强政府自身建设2015年行动计划&gt;的通知》（忻政办发〔2015〕102号）等文件精神，实施了忻州市政务服务中心业务用房建设工程项目。本项目建设完成后，将对提高忻州市政务服务中心的对外服务力度，完善城市功能、提高城市建设水平、改善社会环境和投资环境、推动和促进社会经济的发展、增强忻州市政府部门的社会形象起到相当重要的作用，也具有较好的社会效益。</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为促进预算部门强化绩效理念，提高财政资金使用效益，受忻州市财政局预算投资评审中心委托，山西国元会计师事务所（有限公司）承担对忻州市政务服务中心业务用房建设工程项目（以下简称政务中心建设项目）的绩效评价工作。评价组进入现场对相关资料进行收集、整理和分析，按照科学规范、公正公开、分类分级、绩效相关的原则，对政务中心建设项目专项资金从项目决策、管理、绩效三方面进行评价。</w:t>
      </w:r>
    </w:p>
    <w:p>
      <w:pPr>
        <w:spacing w:after="0"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该项目计划实施时间为2017年05月05日至2018年07月30日，2017年06月中旬开始基础施工。截止2017年12月31日，政务中心主体结构工程已施工至顶层（七层），下一阶段准备进行主体封顶验收及门窗安装工程。</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忻州市财政局根据财政实际情况，下发了《忻州市财政局关于下达2017年第二批政府债券资金的通知》（忻财煤〔2017〕13号），拨付2017年度专项债券资金8</w:t>
      </w:r>
      <w:r>
        <w:rPr>
          <w:rFonts w:hint="eastAsia" w:ascii="仿宋" w:hAnsi="仿宋" w:cs="仿宋"/>
          <w:szCs w:val="28"/>
          <w:lang w:eastAsia="zh-CN"/>
        </w:rPr>
        <w:t>,</w:t>
      </w:r>
      <w:r>
        <w:rPr>
          <w:rFonts w:hint="eastAsia" w:ascii="仿宋" w:hAnsi="仿宋" w:eastAsia="仿宋" w:cs="仿宋"/>
          <w:szCs w:val="28"/>
          <w:lang w:eastAsia="zh-CN"/>
        </w:rPr>
        <w:t>300</w:t>
      </w:r>
      <w:r>
        <w:rPr>
          <w:rFonts w:hint="eastAsia" w:ascii="仿宋" w:hAnsi="仿宋" w:cs="仿宋"/>
          <w:szCs w:val="28"/>
          <w:lang w:eastAsia="zh-CN"/>
        </w:rPr>
        <w:t>.00</w:t>
      </w:r>
      <w:r>
        <w:rPr>
          <w:rFonts w:hint="eastAsia" w:ascii="仿宋" w:hAnsi="仿宋" w:eastAsia="仿宋" w:cs="仿宋"/>
          <w:szCs w:val="28"/>
          <w:lang w:eastAsia="zh-CN"/>
        </w:rPr>
        <w:t>万元。截止2017年12月31日，该笔资金已使用5,283.23万元，结转2018年余额3,016.77万元，本阶段完成投资比例为63.65%。</w:t>
      </w:r>
    </w:p>
    <w:p>
      <w:pPr>
        <w:keepNext/>
        <w:keepLines/>
        <w:spacing w:after="0" w:line="480" w:lineRule="auto"/>
        <w:jc w:val="both"/>
        <w:rPr>
          <w:rFonts w:ascii="仿宋" w:hAnsi="仿宋" w:eastAsia="仿宋" w:cs="仿宋"/>
          <w:b/>
          <w:szCs w:val="28"/>
          <w:lang w:eastAsia="zh-CN"/>
        </w:rPr>
      </w:pPr>
      <w:bookmarkStart w:id="14" w:name="_Toc488086962"/>
      <w:bookmarkStart w:id="15" w:name="_Toc489127230"/>
      <w:bookmarkStart w:id="16" w:name="_Toc489127688"/>
      <w:bookmarkStart w:id="17" w:name="_Toc488339858"/>
      <w:bookmarkStart w:id="18" w:name="_Toc488086775"/>
      <w:bookmarkStart w:id="19" w:name="_Toc489127380"/>
      <w:bookmarkStart w:id="20" w:name="_Toc488339617"/>
      <w:bookmarkStart w:id="21" w:name="_Toc499206806"/>
      <w:r>
        <w:rPr>
          <w:rFonts w:hint="eastAsia" w:ascii="仿宋" w:hAnsi="仿宋" w:eastAsia="仿宋" w:cs="仿宋"/>
          <w:b/>
          <w:szCs w:val="28"/>
          <w:lang w:eastAsia="zh-CN"/>
        </w:rPr>
        <w:t>二、评价结论和绩效分析</w:t>
      </w:r>
      <w:bookmarkEnd w:id="14"/>
      <w:bookmarkEnd w:id="15"/>
      <w:bookmarkEnd w:id="16"/>
      <w:bookmarkEnd w:id="17"/>
      <w:bookmarkEnd w:id="18"/>
      <w:bookmarkEnd w:id="19"/>
      <w:bookmarkEnd w:id="20"/>
      <w:bookmarkEnd w:id="21"/>
    </w:p>
    <w:p>
      <w:pPr>
        <w:tabs>
          <w:tab w:val="left" w:pos="1761"/>
        </w:tabs>
        <w:spacing w:after="0" w:line="480" w:lineRule="auto"/>
        <w:ind w:firstLine="560" w:firstLineChars="200"/>
        <w:jc w:val="both"/>
        <w:rPr>
          <w:rFonts w:ascii="仿宋" w:hAnsi="仿宋" w:eastAsia="仿宋" w:cs="仿宋"/>
          <w:szCs w:val="28"/>
          <w:lang w:eastAsia="zh-CN"/>
        </w:rPr>
      </w:pPr>
      <w:bookmarkStart w:id="22" w:name="_Toc499206807"/>
      <w:bookmarkStart w:id="23" w:name="_Toc488339618"/>
      <w:bookmarkStart w:id="24" w:name="_Toc488086963"/>
      <w:bookmarkStart w:id="25" w:name="_Toc489127689"/>
      <w:bookmarkStart w:id="26" w:name="_Toc488339859"/>
      <w:bookmarkStart w:id="27" w:name="_Toc488086776"/>
      <w:bookmarkStart w:id="28" w:name="_Toc489127231"/>
      <w:bookmarkStart w:id="29" w:name="_Toc489127381"/>
      <w:r>
        <w:rPr>
          <w:rFonts w:hint="eastAsia" w:ascii="仿宋" w:hAnsi="仿宋" w:eastAsia="仿宋" w:cs="仿宋"/>
          <w:szCs w:val="28"/>
          <w:lang w:eastAsia="zh-CN"/>
        </w:rPr>
        <w:t>评价组通过对忻州市政务中心建设项目相关资料的收集，对项目相关实施单位进行实地核查和社会调查，并采用了专家评分的方式，对忻州市政务中心建设项目专项资金的使用情况进行客观公正的评价，最终结论如下：</w:t>
      </w:r>
    </w:p>
    <w:p>
      <w:pPr>
        <w:tabs>
          <w:tab w:val="left" w:pos="1761"/>
        </w:tabs>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该项目最后得分87.00分，评价等级为良好（见表6-1）。项目具体权重和得分情况见下表（具体评分明细见附件2）：</w:t>
      </w:r>
    </w:p>
    <w:p>
      <w:pPr>
        <w:spacing w:after="0" w:line="480" w:lineRule="auto"/>
        <w:jc w:val="center"/>
        <w:rPr>
          <w:rFonts w:ascii="仿宋" w:hAnsi="仿宋" w:eastAsia="仿宋"/>
          <w:sz w:val="24"/>
          <w:szCs w:val="24"/>
          <w:lang w:eastAsia="zh-CN"/>
        </w:rPr>
      </w:pPr>
      <w:r>
        <w:rPr>
          <w:rFonts w:hint="eastAsia" w:ascii="仿宋" w:hAnsi="仿宋" w:eastAsia="仿宋"/>
          <w:sz w:val="24"/>
          <w:szCs w:val="24"/>
          <w:lang w:eastAsia="zh-CN"/>
        </w:rPr>
        <w:t>表6-1绩效评价评分汇总表</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一级指标</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权重</w:t>
            </w:r>
          </w:p>
        </w:tc>
        <w:tc>
          <w:tcPr>
            <w:tcW w:w="2131"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w:t>
            </w:r>
          </w:p>
        </w:tc>
        <w:tc>
          <w:tcPr>
            <w:tcW w:w="2131"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项目决策</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20.00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项目管理</w:t>
            </w:r>
          </w:p>
        </w:tc>
        <w:tc>
          <w:tcPr>
            <w:tcW w:w="2130" w:type="dxa"/>
            <w:shd w:val="clear" w:color="auto" w:fill="auto"/>
            <w:vAlign w:val="center"/>
          </w:tcPr>
          <w:p>
            <w:pPr>
              <w:widowControl w:val="0"/>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30.00</w:t>
            </w:r>
          </w:p>
        </w:tc>
        <w:tc>
          <w:tcPr>
            <w:tcW w:w="2131" w:type="dxa"/>
            <w:shd w:val="clear" w:color="auto" w:fill="auto"/>
            <w:vAlign w:val="center"/>
          </w:tcPr>
          <w:p>
            <w:pPr>
              <w:widowControl w:val="0"/>
              <w:spacing w:after="0" w:line="36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17.00</w:t>
            </w:r>
          </w:p>
        </w:tc>
        <w:tc>
          <w:tcPr>
            <w:tcW w:w="2131" w:type="dxa"/>
            <w:shd w:val="clear" w:color="auto" w:fill="auto"/>
            <w:vAlign w:val="center"/>
          </w:tcPr>
          <w:p>
            <w:pPr>
              <w:widowControl w:val="0"/>
              <w:spacing w:after="0" w:line="36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56.67%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项目绩效</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50.00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合计</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87.00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87.00%</w:t>
            </w:r>
          </w:p>
        </w:tc>
      </w:tr>
    </w:tbl>
    <w:p>
      <w:pPr>
        <w:tabs>
          <w:tab w:val="left" w:pos="1761"/>
        </w:tabs>
        <w:spacing w:after="0" w:line="480" w:lineRule="auto"/>
        <w:ind w:firstLine="560" w:firstLineChars="200"/>
        <w:jc w:val="both"/>
        <w:rPr>
          <w:rFonts w:ascii="仿宋" w:hAnsi="仿宋" w:eastAsia="仿宋"/>
          <w:kern w:val="2"/>
          <w:szCs w:val="28"/>
          <w:lang w:eastAsia="zh-CN" w:bidi="ar-SA"/>
        </w:rPr>
      </w:pPr>
      <w:r>
        <w:rPr>
          <w:rFonts w:hint="eastAsia" w:ascii="仿宋" w:hAnsi="仿宋" w:eastAsia="仿宋" w:cs="仿宋"/>
          <w:szCs w:val="28"/>
          <w:lang w:eastAsia="zh-CN"/>
        </w:rPr>
        <w:t>上述评价结果表明，项目决策类指标得分较高，忻州市城乡建设开发有限公司在项目目标、决策程序、资金使用方面做得比较到位。</w:t>
      </w:r>
      <w:r>
        <w:rPr>
          <w:rFonts w:hint="eastAsia" w:ascii="仿宋" w:hAnsi="仿宋" w:eastAsia="仿宋"/>
          <w:szCs w:val="28"/>
          <w:lang w:eastAsia="zh-CN"/>
        </w:rPr>
        <w:t>造成项目管理类指标扣分的主要原因是</w:t>
      </w:r>
      <w:r>
        <w:rPr>
          <w:rFonts w:hint="eastAsia" w:ascii="仿宋" w:hAnsi="仿宋" w:eastAsia="仿宋"/>
          <w:kern w:val="2"/>
          <w:szCs w:val="28"/>
          <w:lang w:eastAsia="zh-CN" w:bidi="ar-SA"/>
        </w:rPr>
        <w:t>忻州市城乡建设开发有限公司未提供相应的财务管理制度、财务监督制度、采购制度；</w:t>
      </w:r>
      <w:r>
        <w:rPr>
          <w:rFonts w:hint="eastAsia" w:ascii="仿宋" w:hAnsi="仿宋" w:eastAsia="仿宋" w:cs="仿宋"/>
          <w:szCs w:val="28"/>
          <w:lang w:eastAsia="zh-CN"/>
        </w:rPr>
        <w:t>由于该项目未完工，项目绩效不能进行评价，所以评价组本着谨慎性的原则未对该项指标进行扣分。</w:t>
      </w:r>
    </w:p>
    <w:p>
      <w:pPr>
        <w:keepNext/>
        <w:keepLines/>
        <w:spacing w:after="0" w:line="480" w:lineRule="auto"/>
        <w:jc w:val="both"/>
        <w:rPr>
          <w:rFonts w:ascii="仿宋" w:hAnsi="仿宋" w:eastAsia="仿宋" w:cs="仿宋"/>
          <w:b/>
          <w:szCs w:val="28"/>
          <w:lang w:eastAsia="zh-CN"/>
        </w:rPr>
      </w:pPr>
      <w:r>
        <w:rPr>
          <w:rFonts w:hint="eastAsia" w:ascii="仿宋" w:hAnsi="仿宋" w:eastAsia="仿宋" w:cs="仿宋"/>
          <w:b/>
          <w:szCs w:val="28"/>
          <w:lang w:eastAsia="zh-CN"/>
        </w:rPr>
        <w:t>三、</w:t>
      </w:r>
      <w:bookmarkEnd w:id="22"/>
      <w:bookmarkEnd w:id="23"/>
      <w:bookmarkEnd w:id="24"/>
      <w:bookmarkEnd w:id="25"/>
      <w:bookmarkEnd w:id="26"/>
      <w:bookmarkEnd w:id="27"/>
      <w:bookmarkEnd w:id="28"/>
      <w:bookmarkEnd w:id="29"/>
      <w:r>
        <w:rPr>
          <w:rFonts w:hint="eastAsia" w:ascii="仿宋" w:hAnsi="仿宋" w:eastAsia="仿宋" w:cs="仿宋"/>
          <w:b/>
          <w:szCs w:val="28"/>
          <w:lang w:eastAsia="zh-CN"/>
        </w:rPr>
        <w:t>存在的问题及建议</w:t>
      </w:r>
    </w:p>
    <w:p>
      <w:pPr>
        <w:spacing w:after="0" w:line="480" w:lineRule="auto"/>
        <w:jc w:val="both"/>
        <w:rPr>
          <w:rFonts w:ascii="仿宋" w:hAnsi="仿宋" w:eastAsia="仿宋" w:cs="仿宋"/>
          <w:b/>
          <w:szCs w:val="28"/>
          <w:lang w:eastAsia="zh-CN"/>
        </w:rPr>
      </w:pPr>
      <w:bookmarkStart w:id="30" w:name="_Toc488086964"/>
      <w:bookmarkStart w:id="31" w:name="_Toc489127690"/>
      <w:bookmarkStart w:id="32" w:name="_Toc488339619"/>
      <w:bookmarkStart w:id="33" w:name="_Toc489127232"/>
      <w:bookmarkStart w:id="34" w:name="_Toc488339860"/>
      <w:bookmarkStart w:id="35" w:name="_Toc499206808"/>
      <w:bookmarkStart w:id="36" w:name="_Toc488086777"/>
      <w:bookmarkStart w:id="37" w:name="_Toc489127382"/>
      <w:r>
        <w:rPr>
          <w:rFonts w:hint="eastAsia" w:ascii="仿宋" w:hAnsi="仿宋" w:eastAsia="仿宋" w:cs="仿宋"/>
          <w:b/>
          <w:szCs w:val="28"/>
          <w:lang w:eastAsia="zh-CN"/>
        </w:rPr>
        <w:t>（一）</w:t>
      </w:r>
      <w:bookmarkEnd w:id="30"/>
      <w:bookmarkEnd w:id="31"/>
      <w:bookmarkEnd w:id="32"/>
      <w:bookmarkEnd w:id="33"/>
      <w:bookmarkEnd w:id="34"/>
      <w:bookmarkEnd w:id="35"/>
      <w:bookmarkEnd w:id="36"/>
      <w:bookmarkEnd w:id="37"/>
      <w:r>
        <w:rPr>
          <w:rFonts w:hint="eastAsia" w:ascii="仿宋" w:hAnsi="仿宋" w:eastAsia="仿宋" w:cs="仿宋"/>
          <w:b/>
          <w:szCs w:val="28"/>
          <w:lang w:eastAsia="zh-CN"/>
        </w:rPr>
        <w:t>存在的问题</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1.档案管理不严格</w:t>
      </w:r>
    </w:p>
    <w:p>
      <w:pPr>
        <w:spacing w:after="0" w:line="480" w:lineRule="auto"/>
        <w:ind w:firstLine="560" w:firstLineChars="200"/>
        <w:jc w:val="both"/>
        <w:rPr>
          <w:rFonts w:eastAsia="仿宋"/>
          <w:szCs w:val="28"/>
          <w:lang w:eastAsia="zh-CN"/>
        </w:rPr>
      </w:pPr>
      <w:r>
        <w:rPr>
          <w:rFonts w:hint="eastAsia" w:ascii="仿宋" w:hAnsi="仿宋" w:eastAsia="仿宋" w:cs="仿宋"/>
          <w:szCs w:val="28"/>
          <w:lang w:eastAsia="zh-CN"/>
        </w:rPr>
        <w:t>档案是具有保存考究价值的资料，是所有历史记录的见证，最能反映历史事实。档案是在</w:t>
      </w:r>
      <w:r>
        <w:rPr>
          <w:rFonts w:hint="eastAsia" w:eastAsia="仿宋"/>
          <w:szCs w:val="28"/>
          <w:lang w:eastAsia="zh-CN"/>
        </w:rPr>
        <w:t>各项工作开展过程中形成的，是考察工作完成质量的凭证。档案管理的最终目的是便于资料利用，维护档案的真实性及全面性极其重要。评价组经过对获取的资料进行分析，并通过现场核实，</w:t>
      </w:r>
      <w:r>
        <w:rPr>
          <w:rFonts w:hint="eastAsia" w:ascii="仿宋" w:hAnsi="仿宋" w:eastAsia="仿宋" w:cs="仿宋"/>
          <w:szCs w:val="28"/>
          <w:lang w:eastAsia="zh-CN"/>
        </w:rPr>
        <w:t>忻州市政务中心建设项目的</w:t>
      </w:r>
      <w:r>
        <w:rPr>
          <w:rFonts w:hint="eastAsia" w:ascii="仿宋" w:hAnsi="仿宋" w:eastAsia="仿宋"/>
          <w:szCs w:val="28"/>
          <w:lang w:eastAsia="zh-CN"/>
        </w:rPr>
        <w:t>立项过程严格遵循国家、省、市各级政府的有关文件和会议精神，</w:t>
      </w:r>
      <w:r>
        <w:rPr>
          <w:rFonts w:hint="eastAsia" w:eastAsia="仿宋"/>
          <w:szCs w:val="28"/>
          <w:lang w:eastAsia="zh-CN"/>
        </w:rPr>
        <w:t>但是在项目建设过程中缺少相关的档案管理制度及监督管理制度，致使档案管理混乱，部分档案缺失，且未能将档案资料分类归档，影响了资料查阅的完整及便捷。其中缺少的档案资料为建设项目实施前的资金请示文件、</w:t>
      </w:r>
      <w:r>
        <w:rPr>
          <w:rFonts w:hint="eastAsia" w:ascii="仿宋" w:hAnsi="仿宋" w:eastAsia="仿宋"/>
          <w:szCs w:val="28"/>
          <w:lang w:eastAsia="zh-CN"/>
        </w:rPr>
        <w:t>技术鉴定资料</w:t>
      </w:r>
      <w:r>
        <w:rPr>
          <w:rFonts w:hint="eastAsia" w:eastAsia="仿宋"/>
          <w:szCs w:val="28"/>
          <w:lang w:eastAsia="zh-CN"/>
        </w:rPr>
        <w:t>等。</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2.财务机制不健全</w:t>
      </w:r>
    </w:p>
    <w:p>
      <w:pPr>
        <w:spacing w:after="0" w:line="480" w:lineRule="auto"/>
        <w:ind w:firstLine="560" w:firstLineChars="200"/>
        <w:jc w:val="both"/>
        <w:rPr>
          <w:rFonts w:ascii="仿宋" w:hAnsi="仿宋" w:eastAsia="仿宋" w:cs="仿宋"/>
          <w:szCs w:val="28"/>
          <w:highlight w:val="yellow"/>
          <w:lang w:eastAsia="zh-CN"/>
        </w:rPr>
      </w:pPr>
      <w:r>
        <w:rPr>
          <w:rFonts w:hint="eastAsia" w:ascii="仿宋" w:hAnsi="仿宋" w:eastAsia="仿宋"/>
          <w:kern w:val="2"/>
          <w:szCs w:val="28"/>
          <w:lang w:eastAsia="zh-CN" w:bidi="ar-SA"/>
        </w:rPr>
        <w:t>忻州市城乡建设开发有限公司未提供相应的财务管理制度、财务监督制度、采购制度。在</w:t>
      </w:r>
      <w:r>
        <w:rPr>
          <w:rFonts w:hint="eastAsia" w:ascii="仿宋" w:hAnsi="仿宋" w:eastAsia="仿宋"/>
          <w:szCs w:val="28"/>
          <w:lang w:eastAsia="zh-CN"/>
        </w:rPr>
        <w:t>缺乏有效的财务管理及监督制度事中检查及事后监管的情况下，容易使得资金的运行和使用没有明确的依据和规范。缺少成本控制与采购制度容易造成支出不合理，超出控制价，不能保质保量的完成建设任务。</w:t>
      </w:r>
    </w:p>
    <w:p>
      <w:pPr>
        <w:spacing w:after="0" w:line="480" w:lineRule="auto"/>
        <w:jc w:val="both"/>
        <w:rPr>
          <w:rFonts w:ascii="仿宋" w:hAnsi="仿宋" w:eastAsia="仿宋" w:cs="仿宋"/>
          <w:b/>
          <w:bCs/>
          <w:lang w:eastAsia="zh-CN"/>
        </w:rPr>
      </w:pPr>
      <w:bookmarkStart w:id="38" w:name="_Toc499206809"/>
      <w:bookmarkStart w:id="39" w:name="_Toc488086965"/>
      <w:bookmarkStart w:id="40" w:name="_Toc488086778"/>
      <w:bookmarkStart w:id="41" w:name="_Toc489127383"/>
      <w:bookmarkStart w:id="42" w:name="_Toc488339861"/>
      <w:bookmarkStart w:id="43" w:name="_Toc488339620"/>
      <w:bookmarkStart w:id="44" w:name="_Toc489127233"/>
      <w:bookmarkStart w:id="45" w:name="_Toc489127691"/>
      <w:r>
        <w:rPr>
          <w:rFonts w:hint="eastAsia" w:ascii="仿宋" w:hAnsi="仿宋" w:eastAsia="仿宋" w:cs="仿宋"/>
          <w:b/>
          <w:bCs/>
          <w:lang w:eastAsia="zh-CN"/>
        </w:rPr>
        <w:t>（二）</w:t>
      </w:r>
      <w:bookmarkEnd w:id="38"/>
      <w:bookmarkEnd w:id="39"/>
      <w:bookmarkEnd w:id="40"/>
      <w:bookmarkEnd w:id="41"/>
      <w:bookmarkEnd w:id="42"/>
      <w:bookmarkEnd w:id="43"/>
      <w:bookmarkEnd w:id="44"/>
      <w:bookmarkEnd w:id="45"/>
      <w:r>
        <w:rPr>
          <w:rFonts w:hint="eastAsia" w:ascii="仿宋" w:hAnsi="仿宋" w:eastAsia="仿宋" w:cs="仿宋"/>
          <w:b/>
          <w:bCs/>
          <w:lang w:eastAsia="zh-CN"/>
        </w:rPr>
        <w:t>建议</w:t>
      </w:r>
    </w:p>
    <w:p>
      <w:pPr>
        <w:spacing w:after="0" w:line="480" w:lineRule="auto"/>
        <w:ind w:firstLine="560" w:firstLineChars="200"/>
        <w:jc w:val="both"/>
        <w:rPr>
          <w:rFonts w:ascii="仿宋" w:hAnsi="仿宋" w:eastAsia="仿宋"/>
          <w:color w:val="000000" w:themeColor="text1"/>
          <w:kern w:val="2"/>
          <w:szCs w:val="28"/>
          <w:lang w:eastAsia="zh-CN"/>
          <w14:textFill>
            <w14:solidFill>
              <w14:schemeClr w14:val="tx1"/>
            </w14:solidFill>
          </w14:textFill>
        </w:rPr>
      </w:pPr>
      <w:r>
        <w:rPr>
          <w:rFonts w:hint="eastAsia" w:ascii="仿宋" w:hAnsi="仿宋" w:eastAsia="仿宋"/>
          <w:kern w:val="2"/>
          <w:szCs w:val="28"/>
          <w:lang w:eastAsia="zh-CN"/>
        </w:rPr>
        <w:t>1.</w:t>
      </w:r>
      <w:r>
        <w:rPr>
          <w:rFonts w:hint="eastAsia" w:ascii="仿宋" w:hAnsi="仿宋" w:eastAsia="仿宋"/>
          <w:color w:val="000000" w:themeColor="text1"/>
          <w:kern w:val="2"/>
          <w:szCs w:val="28"/>
          <w:lang w:eastAsia="zh-CN"/>
          <w14:textFill>
            <w14:solidFill>
              <w14:schemeClr w14:val="tx1"/>
            </w14:solidFill>
          </w14:textFill>
        </w:rPr>
        <w:t>提高对档案管理的重视</w:t>
      </w:r>
    </w:p>
    <w:p>
      <w:pPr>
        <w:spacing w:after="0" w:line="480" w:lineRule="auto"/>
        <w:ind w:firstLine="560" w:firstLineChars="200"/>
        <w:jc w:val="both"/>
        <w:rPr>
          <w:rFonts w:ascii="仿宋" w:hAnsi="仿宋" w:eastAsia="仿宋"/>
          <w:kern w:val="2"/>
          <w:szCs w:val="28"/>
          <w:lang w:eastAsia="zh-CN"/>
        </w:rPr>
      </w:pPr>
      <w:r>
        <w:rPr>
          <w:rFonts w:hint="eastAsia" w:ascii="仿宋" w:hAnsi="仿宋" w:eastAsia="仿宋"/>
          <w:color w:val="000000" w:themeColor="text1"/>
          <w:kern w:val="2"/>
          <w:szCs w:val="28"/>
          <w:lang w:eastAsia="zh-CN"/>
          <w14:textFill>
            <w14:solidFill>
              <w14:schemeClr w14:val="tx1"/>
            </w14:solidFill>
          </w14:textFill>
        </w:rPr>
        <w:t>建议项目实施单位提高对档案管理的重视，建立健全档案管理制度、财务管理制度、合同管理制度以及监督管理制度；制定或明确所依据的专门档案管理文件，指定专门科室专门人员进行管理；在项目建设期间做好档案资料的管护与交接，在项目工程完成后做好档案资料的整理和存放；加强与各相关单位之间的沟通，严格按照制度要求移交档案并仔细整理后保管；完善档案存放设施。</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2.建立健全财务机制</w:t>
      </w:r>
    </w:p>
    <w:p>
      <w:pPr>
        <w:spacing w:after="0" w:line="480" w:lineRule="auto"/>
        <w:ind w:firstLine="560" w:firstLineChars="200"/>
        <w:jc w:val="both"/>
        <w:rPr>
          <w:rFonts w:ascii="仿宋" w:hAnsi="仿宋" w:eastAsia="仿宋" w:cs="仿宋"/>
          <w:szCs w:val="28"/>
          <w:highlight w:val="yellow"/>
          <w:lang w:eastAsia="zh-CN" w:bidi="ar"/>
        </w:rPr>
      </w:pPr>
      <w:r>
        <w:rPr>
          <w:rFonts w:hint="eastAsia" w:ascii="仿宋" w:hAnsi="仿宋" w:eastAsia="仿宋"/>
          <w:kern w:val="2"/>
          <w:szCs w:val="28"/>
          <w:lang w:eastAsia="zh-CN" w:bidi="ar-SA"/>
        </w:rPr>
        <w:t>建议被评价相关单位加强财务人员专业水平培养，健全财务管理监管制度和成本控制与采购制度，适时进行内部审计，使支出合理合规，采购成本价控制在合理范围内，最大程度的利用好政府拨款。</w:t>
      </w:r>
    </w:p>
    <w:p>
      <w:pPr>
        <w:keepNext/>
        <w:keepLines/>
        <w:spacing w:after="0" w:line="480" w:lineRule="auto"/>
        <w:jc w:val="both"/>
        <w:rPr>
          <w:rFonts w:ascii="仿宋" w:hAnsi="仿宋" w:eastAsia="仿宋" w:cs="仿宋"/>
          <w:b/>
          <w:szCs w:val="28"/>
          <w:lang w:eastAsia="zh-CN"/>
        </w:rPr>
      </w:pPr>
      <w:bookmarkStart w:id="46" w:name="_Toc499206811"/>
      <w:r>
        <w:rPr>
          <w:rFonts w:hint="eastAsia" w:ascii="仿宋" w:hAnsi="仿宋" w:eastAsia="仿宋" w:cs="仿宋"/>
          <w:b/>
          <w:szCs w:val="28"/>
          <w:lang w:eastAsia="zh-CN"/>
        </w:rPr>
        <w:t>四、评价局限性</w:t>
      </w:r>
      <w:bookmarkEnd w:id="46"/>
    </w:p>
    <w:p>
      <w:pPr>
        <w:tabs>
          <w:tab w:val="left" w:pos="1761"/>
        </w:tabs>
        <w:spacing w:line="480" w:lineRule="auto"/>
        <w:ind w:firstLine="560" w:firstLineChars="200"/>
        <w:rPr>
          <w:rFonts w:ascii="仿宋" w:hAnsi="仿宋" w:eastAsia="仿宋"/>
          <w:kern w:val="2"/>
          <w:szCs w:val="28"/>
          <w:lang w:eastAsia="zh-CN" w:bidi="ar-SA"/>
        </w:rPr>
      </w:pPr>
      <w:r>
        <w:rPr>
          <w:rFonts w:hint="eastAsia" w:ascii="仿宋" w:hAnsi="仿宋" w:eastAsia="仿宋"/>
          <w:kern w:val="2"/>
          <w:szCs w:val="28"/>
          <w:lang w:eastAsia="zh-CN" w:bidi="ar-SA"/>
        </w:rPr>
        <w:t>因受本次评价时间的限制，截至报告出具日2018年02月26日,忻州市城乡建设开发有限公司</w:t>
      </w:r>
      <w:r>
        <w:rPr>
          <w:rFonts w:hint="eastAsia" w:ascii="仿宋" w:hAnsi="仿宋" w:eastAsia="仿宋"/>
          <w:szCs w:val="28"/>
          <w:lang w:eastAsia="zh-CN"/>
        </w:rPr>
        <w:t>政务中心建设项目</w:t>
      </w:r>
      <w:r>
        <w:rPr>
          <w:rFonts w:hint="eastAsia" w:ascii="仿宋" w:hAnsi="仿宋" w:eastAsia="仿宋"/>
          <w:kern w:val="2"/>
          <w:szCs w:val="28"/>
          <w:lang w:eastAsia="zh-CN" w:bidi="ar-SA"/>
        </w:rPr>
        <w:t>尚处于施工阶段，未进行竣工验收，故本次评价组对绩效评价指标中不适用的指标暂不进行扣分。该项目不扣分的指标有：C311、C312、C313、C314、C321、C322、C323。由于不扣分项目的影响，将导致最终评分虚高。</w:t>
      </w:r>
    </w:p>
    <w:p>
      <w:pPr>
        <w:spacing w:after="0" w:line="480" w:lineRule="auto"/>
        <w:ind w:firstLine="723" w:firstLineChars="200"/>
        <w:jc w:val="both"/>
        <w:rPr>
          <w:rFonts w:ascii="黑体" w:hAnsi="黑体" w:eastAsia="黑体"/>
          <w:b/>
          <w:sz w:val="36"/>
          <w:szCs w:val="36"/>
          <w:lang w:eastAsia="zh-CN"/>
        </w:rPr>
      </w:pPr>
    </w:p>
    <w:p>
      <w:pPr>
        <w:spacing w:before="624" w:beforeLines="200" w:after="0" w:line="240" w:lineRule="auto"/>
        <w:jc w:val="center"/>
        <w:rPr>
          <w:rFonts w:ascii="黑体" w:hAnsi="黑体" w:eastAsia="黑体"/>
          <w:b/>
          <w:sz w:val="36"/>
          <w:szCs w:val="36"/>
          <w:lang w:eastAsia="zh-CN"/>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p>
    <w:p>
      <w:pPr>
        <w:spacing w:after="0" w:line="240" w:lineRule="auto"/>
        <w:jc w:val="center"/>
        <w:rPr>
          <w:rFonts w:ascii="黑体" w:hAnsi="黑体" w:eastAsia="黑体"/>
          <w:b/>
          <w:sz w:val="36"/>
          <w:szCs w:val="36"/>
          <w:lang w:eastAsia="zh-CN"/>
        </w:rPr>
      </w:pPr>
      <w:r>
        <w:rPr>
          <w:rFonts w:hint="eastAsia" w:ascii="黑体" w:hAnsi="黑体" w:eastAsia="黑体"/>
          <w:b/>
          <w:sz w:val="36"/>
          <w:szCs w:val="36"/>
          <w:lang w:eastAsia="zh-CN"/>
        </w:rPr>
        <w:t>忻州市政务服务中心业务用房建设工程项目</w:t>
      </w:r>
    </w:p>
    <w:p>
      <w:pPr>
        <w:spacing w:after="0" w:line="240" w:lineRule="auto"/>
        <w:jc w:val="center"/>
        <w:rPr>
          <w:rFonts w:ascii="黑体" w:hAnsi="黑体" w:eastAsia="黑体"/>
          <w:b/>
          <w:sz w:val="36"/>
          <w:szCs w:val="36"/>
          <w:lang w:eastAsia="zh-CN"/>
        </w:rPr>
      </w:pPr>
      <w:r>
        <w:rPr>
          <w:rFonts w:hint="eastAsia" w:ascii="黑体" w:hAnsi="黑体" w:eastAsia="黑体"/>
          <w:b/>
          <w:sz w:val="36"/>
          <w:szCs w:val="36"/>
          <w:lang w:eastAsia="zh-CN"/>
        </w:rPr>
        <w:t>绩效评价报告</w:t>
      </w:r>
    </w:p>
    <w:p>
      <w:pPr>
        <w:spacing w:after="0" w:line="480" w:lineRule="auto"/>
        <w:ind w:firstLine="560" w:firstLineChars="200"/>
        <w:jc w:val="both"/>
        <w:rPr>
          <w:rFonts w:ascii="仿宋" w:hAnsi="仿宋" w:eastAsia="仿宋"/>
          <w:szCs w:val="28"/>
          <w:lang w:eastAsia="zh-CN"/>
        </w:rPr>
      </w:pPr>
      <w:r>
        <w:rPr>
          <w:rFonts w:hint="eastAsia" w:ascii="仿宋" w:hAnsi="仿宋" w:eastAsia="仿宋" w:cs="仿宋"/>
          <w:szCs w:val="28"/>
          <w:lang w:eastAsia="zh-CN"/>
        </w:rPr>
        <w:t>为加强预算绩效管理，提高预算资金使用效益，提升财政资金管理科学化水平，合理地安排预算资金，进一步建立健全忻州市政府便民服务体系，促进政府服务业务的正常开展，充分发挥忻州市政府职能在便民服务体系建设中的引导和示范作用，根据《财政支出绩效评价管理暂行办法》（财预〔2011〕285号）、《山西省预算绩效评价管理办法》（晋财资〔2014〕36号）、中国注册会计师协会关于印发《会计师事务所财政支出绩效评价业务指引》的通知（会协〔2016〕10号）、山西省全面加强自身建设三年规划（2015-2017）》、《山西省委办公厅关于印发&lt;山西省政府服务平台建设总体方案&gt;的通知》（晋办发〔2015〕32号）、《忻州市人民政府关于印发&lt;忻州市全力加强政府自身建设2015年行动计划&gt;的通知》（忻政办发〔2015〕102号）等文件要求，受忻州市财政局预算投资评审中心委托，山西国元会计师事务所（有限公司）承担对忻州市政务服务中心业务用房建设工程项目（以下简称“政务中心建设项目”）的绩效评价工作。在评价的过程中，我们查阅了相关资料，履行了必要的绩效评价程序，遵循科学规范、公开公正、绩效相关的原则，采用因素分析法、比较法、公众评判法等评价方法，于2018年01月04日到2018年02月26日对政务中心建设项目进行了绩效评价，现将此次绩效评价情况及评价结果报告如下：</w:t>
      </w:r>
    </w:p>
    <w:p>
      <w:pPr>
        <w:pStyle w:val="2"/>
        <w:spacing w:before="300" w:beforeLines="0" w:after="300" w:afterLines="0" w:line="480" w:lineRule="auto"/>
        <w:jc w:val="both"/>
        <w:rPr>
          <w:sz w:val="32"/>
          <w:lang w:eastAsia="zh-CN"/>
        </w:rPr>
      </w:pPr>
      <w:bookmarkStart w:id="47" w:name="_Toc17307"/>
      <w:bookmarkStart w:id="48" w:name="_Toc6302"/>
      <w:bookmarkStart w:id="49" w:name="_Toc3382"/>
      <w:bookmarkStart w:id="50" w:name="_Toc499206812"/>
      <w:r>
        <w:rPr>
          <w:rFonts w:hint="eastAsia"/>
          <w:sz w:val="32"/>
          <w:lang w:eastAsia="zh-CN"/>
        </w:rPr>
        <w:t>一、项目基本情况</w:t>
      </w:r>
      <w:bookmarkEnd w:id="47"/>
      <w:bookmarkEnd w:id="48"/>
      <w:bookmarkEnd w:id="49"/>
      <w:bookmarkEnd w:id="50"/>
    </w:p>
    <w:p>
      <w:pPr>
        <w:pStyle w:val="3"/>
        <w:spacing w:before="200" w:after="200" w:line="480" w:lineRule="auto"/>
        <w:jc w:val="both"/>
        <w:rPr>
          <w:lang w:eastAsia="zh-CN"/>
        </w:rPr>
      </w:pPr>
      <w:bookmarkStart w:id="51" w:name="_Toc499206813"/>
      <w:bookmarkStart w:id="52" w:name="_Toc21812"/>
      <w:bookmarkStart w:id="53" w:name="_Toc24553"/>
      <w:bookmarkStart w:id="54" w:name="_Toc21281"/>
      <w:r>
        <w:rPr>
          <w:rFonts w:hint="eastAsia"/>
          <w:lang w:eastAsia="zh-CN"/>
        </w:rPr>
        <w:t>（一）基本情况</w:t>
      </w:r>
      <w:bookmarkEnd w:id="51"/>
      <w:bookmarkEnd w:id="52"/>
      <w:bookmarkEnd w:id="53"/>
      <w:bookmarkEnd w:id="54"/>
    </w:p>
    <w:p>
      <w:pPr>
        <w:spacing w:after="0" w:line="480" w:lineRule="auto"/>
        <w:ind w:firstLine="560" w:firstLineChars="200"/>
        <w:jc w:val="both"/>
        <w:rPr>
          <w:rFonts w:ascii="仿宋" w:hAnsi="仿宋" w:eastAsia="仿宋" w:cs="仿宋"/>
          <w:lang w:eastAsia="zh-CN"/>
        </w:rPr>
      </w:pPr>
      <w:r>
        <w:rPr>
          <w:rFonts w:hint="eastAsia" w:ascii="仿宋" w:hAnsi="仿宋" w:eastAsia="仿宋" w:cs="仿宋"/>
          <w:lang w:eastAsia="zh-CN"/>
        </w:rPr>
        <w:t>1.项目立项背景及目的</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政务服务中心是在政府领导下由政府相关部门共同组成的具有行政审批和公共服务职能的行政机构。政务服务中心把各部门集中到一起，使各部门在履行职责、便民服务时目标一致、行动一致、步调一致、工作环环相扣，有问题共同商量、有矛盾协商解决，避免各自为政、推诿扯皮、办事拖拉等情况的发生。</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政务服务中心能将各部门的服务整合，提升工作协同能力，也能够实现一加一大于二的政府服务效果。在新形势下进一步加强政务服务中心业务用房建设，是全面落实科学发展观、加快转变政府职能的迫切需要，是加强权力监督、从源头上预防和治理腐败的有效途径，是建设法治政府、效率政府、服务型政府的重要举措。因此，为了促进政府职能转变，方便群众办事，建立服务型政府、阳光政府、高效政府，落实忻州市长远发展规划，忻州市人民政府办公厅根据《山西省委办公厅关于印发&lt;山西省政府服务平台建设总体方案&gt;的通知》（晋办发〔2015〕32号）、《忻州市人民政府关于印发&lt;忻州市全力加强政府自身建设2015年行动计划&gt;的通知》（忻政办发〔2015〕102号）等文件精神，实施了政务中心建设项目。本项目建设完成后，将对提高忻州市政务服务中心的对外服务力度，完善城市功能、提高城市建设水平、改善社会环境和投资环境、推动和促进社会经济的发展、增强忻州市政府部门的社会形象起到相当重要的作用，也具有较好的经济、社会效益。</w:t>
      </w:r>
    </w:p>
    <w:p>
      <w:p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36"/>
          <w:lang w:eastAsia="zh-CN"/>
        </w:rPr>
        <w:t>忻州市政务服务中心实行“两集中两到位”的运作方式，中心业务用房建成以后将有57个部门，700余项（163项行政审批、534项服务型审批）审批事项，可容纳600余人在中心工作。</w:t>
      </w:r>
    </w:p>
    <w:p>
      <w:p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36"/>
          <w:lang w:eastAsia="zh-CN"/>
        </w:rPr>
        <w:t>为全面反映预算资金产出和结果的经济性、效率性、效益性和公平性，通过绩效评价工作的开展及时发现问题并提出有效建议，引导项目资金分配更趋合理性，同时强化部门责任、明确工作职责，为以后工作提供参考。</w:t>
      </w:r>
    </w:p>
    <w:p>
      <w:pPr>
        <w:spacing w:after="0" w:line="480" w:lineRule="auto"/>
        <w:ind w:firstLine="560" w:firstLineChars="200"/>
        <w:jc w:val="both"/>
        <w:rPr>
          <w:rFonts w:ascii="仿宋" w:hAnsi="仿宋" w:eastAsia="仿宋" w:cs="仿宋"/>
          <w:lang w:eastAsia="zh-CN"/>
        </w:rPr>
      </w:pPr>
      <w:r>
        <w:rPr>
          <w:rFonts w:hint="eastAsia" w:ascii="仿宋" w:hAnsi="仿宋" w:eastAsia="仿宋" w:cs="仿宋"/>
          <w:lang w:eastAsia="zh-CN"/>
        </w:rPr>
        <w:t>2.项目范围</w:t>
      </w:r>
    </w:p>
    <w:p>
      <w:pPr>
        <w:spacing w:after="0" w:line="480" w:lineRule="auto"/>
        <w:ind w:firstLine="560" w:firstLineChars="200"/>
        <w:jc w:val="both"/>
        <w:rPr>
          <w:rFonts w:ascii="仿宋" w:hAnsi="仿宋" w:eastAsia="仿宋" w:cs="仿宋"/>
          <w:sz w:val="32"/>
          <w:szCs w:val="32"/>
          <w:lang w:eastAsia="zh-CN"/>
        </w:rPr>
      </w:pPr>
      <w:r>
        <w:rPr>
          <w:rFonts w:hint="eastAsia" w:ascii="仿宋" w:hAnsi="仿宋" w:eastAsia="仿宋" w:cs="仿宋"/>
          <w:szCs w:val="28"/>
          <w:lang w:eastAsia="zh-CN"/>
        </w:rPr>
        <w:t>本次绩效评价的范围是2017年度忻州市财政局拨付的政务中心建设项目专项资金8,300.00万元。绩效评价范围为</w:t>
      </w:r>
      <w:r>
        <w:rPr>
          <w:rFonts w:hint="eastAsia" w:ascii="仿宋" w:hAnsi="仿宋" w:eastAsia="仿宋"/>
          <w:kern w:val="2"/>
          <w:szCs w:val="28"/>
          <w:lang w:eastAsia="zh-CN" w:bidi="ar-SA"/>
        </w:rPr>
        <w:t>忻州市城乡建设开发有限公司</w:t>
      </w:r>
      <w:r>
        <w:rPr>
          <w:rFonts w:hint="eastAsia" w:ascii="仿宋" w:hAnsi="仿宋" w:eastAsia="仿宋" w:cs="仿宋"/>
          <w:szCs w:val="28"/>
          <w:lang w:eastAsia="zh-CN"/>
        </w:rPr>
        <w:t>在使用资金过程中的合规性以及能够实现的产出，具体绩效评价范围包括项目决策、项目管理、项目绩效。</w:t>
      </w:r>
    </w:p>
    <w:p>
      <w:pPr>
        <w:spacing w:after="0" w:line="480" w:lineRule="auto"/>
        <w:ind w:firstLine="560" w:firstLineChars="200"/>
        <w:jc w:val="both"/>
        <w:rPr>
          <w:rFonts w:ascii="仿宋" w:hAnsi="仿宋" w:eastAsia="仿宋" w:cs="仿宋"/>
          <w:lang w:eastAsia="zh-CN"/>
        </w:rPr>
      </w:pPr>
      <w:r>
        <w:rPr>
          <w:rFonts w:hint="eastAsia" w:ascii="仿宋" w:hAnsi="仿宋" w:eastAsia="仿宋" w:cs="仿宋"/>
          <w:lang w:eastAsia="zh-CN"/>
        </w:rPr>
        <w:t>3.项目完成情况</w:t>
      </w:r>
    </w:p>
    <w:p>
      <w:pPr>
        <w:spacing w:after="0" w:line="480" w:lineRule="auto"/>
        <w:ind w:firstLine="560" w:firstLineChars="200"/>
        <w:rPr>
          <w:rFonts w:ascii="仿宋" w:hAnsi="仿宋" w:eastAsia="仿宋" w:cs="仿宋"/>
          <w:szCs w:val="28"/>
          <w:lang w:eastAsia="zh-CN"/>
        </w:rPr>
      </w:pPr>
      <w:bookmarkStart w:id="55" w:name="_Toc4959"/>
      <w:bookmarkStart w:id="56" w:name="_Toc499206814"/>
      <w:r>
        <w:rPr>
          <w:rFonts w:hint="eastAsia" w:ascii="仿宋" w:hAnsi="仿宋" w:eastAsia="仿宋"/>
          <w:szCs w:val="28"/>
          <w:lang w:eastAsia="zh-CN"/>
        </w:rPr>
        <w:t>此次忻州市</w:t>
      </w:r>
      <w:r>
        <w:rPr>
          <w:rFonts w:hint="eastAsia" w:ascii="仿宋" w:hAnsi="仿宋" w:eastAsia="仿宋" w:cs="仿宋"/>
          <w:szCs w:val="28"/>
          <w:lang w:eastAsia="zh-CN"/>
        </w:rPr>
        <w:t>政务中心建设项目计划工期为2017年05月05日至2018年07月30日，实际开工时间为2017年06月中旬，截止2017年12月31日，政务中心主体结构工程已施工至顶层（七层），下一阶段准备进行主体封顶验收及门窗安装工程。</w:t>
      </w:r>
    </w:p>
    <w:p>
      <w:pPr>
        <w:spacing w:after="0" w:line="480" w:lineRule="auto"/>
        <w:ind w:firstLine="560" w:firstLineChars="200"/>
        <w:rPr>
          <w:rFonts w:ascii="仿宋" w:hAnsi="仿宋" w:eastAsia="仿宋" w:cs="仿宋"/>
          <w:sz w:val="24"/>
          <w:szCs w:val="24"/>
          <w:highlight w:val="yellow"/>
          <w:lang w:eastAsia="zh-CN"/>
        </w:rPr>
      </w:pPr>
      <w:r>
        <w:rPr>
          <w:rFonts w:hint="eastAsia" w:ascii="仿宋" w:hAnsi="仿宋" w:eastAsia="仿宋" w:cs="仿宋"/>
          <w:szCs w:val="28"/>
          <w:lang w:eastAsia="zh-CN"/>
        </w:rPr>
        <w:t>项目批复可行性研究报告中估算总投资为21</w:t>
      </w:r>
      <w:r>
        <w:rPr>
          <w:rFonts w:hint="eastAsia" w:ascii="仿宋" w:hAnsi="仿宋" w:cs="仿宋"/>
          <w:szCs w:val="28"/>
          <w:lang w:eastAsia="zh-CN"/>
        </w:rPr>
        <w:t>,</w:t>
      </w:r>
      <w:r>
        <w:rPr>
          <w:rFonts w:hint="eastAsia" w:ascii="仿宋" w:hAnsi="仿宋" w:eastAsia="仿宋" w:cs="仿宋"/>
          <w:szCs w:val="28"/>
          <w:lang w:eastAsia="zh-CN"/>
        </w:rPr>
        <w:t>424.69万元（忻发改发〔2016〕86号），项目批复初设概算总投资23</w:t>
      </w:r>
      <w:r>
        <w:rPr>
          <w:rFonts w:hint="eastAsia" w:ascii="仿宋" w:hAnsi="仿宋" w:cs="仿宋"/>
          <w:szCs w:val="28"/>
          <w:lang w:eastAsia="zh-CN"/>
        </w:rPr>
        <w:t>,</w:t>
      </w:r>
      <w:r>
        <w:rPr>
          <w:rFonts w:hint="eastAsia" w:ascii="仿宋" w:hAnsi="仿宋" w:eastAsia="仿宋" w:cs="仿宋"/>
          <w:szCs w:val="28"/>
          <w:lang w:eastAsia="zh-CN"/>
        </w:rPr>
        <w:t>118.54万元（忻发改发〔2017〕33号），忻州市财政局根据财政实际情况，下发了《忻州市财政局关于下达2017年第二批政府债券资金的通知》（忻财煤〔2017〕13号），拨付2017年度专项资金8</w:t>
      </w:r>
      <w:r>
        <w:rPr>
          <w:rFonts w:hint="eastAsia" w:ascii="仿宋" w:hAnsi="仿宋" w:cs="仿宋"/>
          <w:szCs w:val="28"/>
          <w:lang w:eastAsia="zh-CN"/>
        </w:rPr>
        <w:t>,</w:t>
      </w:r>
      <w:r>
        <w:rPr>
          <w:rFonts w:hint="eastAsia" w:ascii="仿宋" w:hAnsi="仿宋" w:eastAsia="仿宋" w:cs="仿宋"/>
          <w:szCs w:val="28"/>
          <w:lang w:eastAsia="zh-CN"/>
        </w:rPr>
        <w:t>300</w:t>
      </w:r>
      <w:r>
        <w:rPr>
          <w:rFonts w:hint="eastAsia" w:ascii="仿宋" w:hAnsi="仿宋" w:cs="仿宋"/>
          <w:szCs w:val="28"/>
          <w:lang w:eastAsia="zh-CN"/>
        </w:rPr>
        <w:t>.00</w:t>
      </w:r>
      <w:r>
        <w:rPr>
          <w:rFonts w:hint="eastAsia" w:ascii="仿宋" w:hAnsi="仿宋" w:eastAsia="仿宋" w:cs="仿宋"/>
          <w:szCs w:val="28"/>
          <w:lang w:eastAsia="zh-CN"/>
        </w:rPr>
        <w:t>万元。截止2017年12月31日，该笔资金已使用5,283.23万元，结转下一年余额3,016.77万元。</w:t>
      </w:r>
    </w:p>
    <w:p>
      <w:pPr>
        <w:pStyle w:val="3"/>
        <w:spacing w:before="0" w:after="0" w:line="360" w:lineRule="auto"/>
        <w:jc w:val="both"/>
        <w:rPr>
          <w:lang w:eastAsia="zh-CN"/>
        </w:rPr>
      </w:pPr>
      <w:bookmarkStart w:id="57" w:name="_Toc9151"/>
      <w:bookmarkStart w:id="58" w:name="_Toc18223"/>
      <w:r>
        <w:rPr>
          <w:rFonts w:hint="eastAsia"/>
          <w:lang w:eastAsia="zh-CN"/>
        </w:rPr>
        <w:t>（二）项目绩效目标</w:t>
      </w:r>
      <w:bookmarkEnd w:id="55"/>
      <w:bookmarkEnd w:id="56"/>
      <w:bookmarkEnd w:id="57"/>
      <w:bookmarkEnd w:id="58"/>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依据《山西省委办公厅关于印发&lt;山西省政府服务平台建设总体方案&gt;的通知》（晋办发〔2015〕32号）、《忻州市人民政府关于印发&lt;忻州市全力加强政府自身建设2015年行动计划&gt;的通知》（忻政办发〔2015〕102号）文件规定，评价工作组设定了该项目绩效的长期目标和阶段性目标：</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1.项目绩效总目标</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（1）政务中心建设项目完成以后，可以深化忻州市行政审批制度改革，促进一站式的阳光政务建设，规范审批运作流程，减少人情审批，推进忻州市的党风廉政建设，在源头上预防和惩治腐败；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政务中心建设项目完成以后，能够简化办事程序、规范政府行为、推动政务公开、改善政府形象、提高政府绩效，完善忻州市的城市功能、提高城市建设水平、改善城市社会环境、创新公共服务提供方式，优化经济发展软环境，强化政府部门的服务意识，推动政府由“管制型”向“服务型”的转变；</w:t>
      </w:r>
    </w:p>
    <w:p>
      <w:pPr>
        <w:spacing w:after="0" w:line="480" w:lineRule="auto"/>
        <w:ind w:firstLine="560" w:firstLineChars="200"/>
        <w:jc w:val="both"/>
        <w:rPr>
          <w:rFonts w:ascii="仿宋" w:hAnsi="仿宋" w:eastAsia="仿宋"/>
          <w:szCs w:val="28"/>
          <w:lang w:eastAsia="zh-CN"/>
        </w:rPr>
      </w:pPr>
      <w:r>
        <w:rPr>
          <w:rFonts w:hint="eastAsia" w:ascii="仿宋" w:hAnsi="仿宋" w:eastAsia="仿宋" w:cs="仿宋"/>
          <w:szCs w:val="28"/>
          <w:lang w:eastAsia="zh-CN"/>
        </w:rPr>
        <w:t>（3）政务中心建设项目完成以后，可以改变政府职能、改进机关作风、提高办事效率推动和促进忻州市社会经济的发展，提升忻州市政府的社会形象，建设便民、高效、廉洁、规范的政府服务体系，保障人民群众的根本利益，确保社会经济的健康有序发展。</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2.项目绩效阶段性目标</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（1）项目开展按照上级指令性文件的要求设立开展区域，立项文件及相关资料符合要求；</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（2）项目专项资金的申请符合相关程序规定；</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（3）项目资金发放合规，发放对象合理准确；</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（4）项目专项资金拨付及时率100%；</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（5）项目专项资金投入到位率达100%；</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（6）项目资金专款专用率达到100%；</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（7）专项资金使用遵循“节约使用资金，提高使用效益”的原则；</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（8）严格执行项目成本控制预算采购制度；</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（9）有相关依据或制定项目实施监管制度、项目管理制度、以及财务管理制度，并有效执行；</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（10）制定或具有相应的项目资金管理办法，资金拨付有完整的审批程序、手续及监管措施；</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（11）完成忻州政务服务中心业务用房总建筑面积47,064.43平方米工程；</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（12）项目建设能够按预定进度完成且项目达到质量控制标准；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（13）项目完工验收程序合规，有相关验收资料和竣工决算审计报告。</w:t>
      </w:r>
    </w:p>
    <w:p>
      <w:pPr>
        <w:spacing w:after="0" w:line="480" w:lineRule="auto"/>
        <w:ind w:firstLine="560" w:firstLineChars="200"/>
        <w:jc w:val="both"/>
        <w:rPr>
          <w:rFonts w:ascii="仿宋" w:hAnsi="仿宋" w:cs="仿宋"/>
          <w:szCs w:val="28"/>
          <w:lang w:eastAsia="zh-CN"/>
        </w:rPr>
      </w:pPr>
      <w:r>
        <w:rPr>
          <w:rFonts w:hint="eastAsia" w:ascii="仿宋" w:hAnsi="仿宋" w:eastAsia="仿宋" w:cs="仿宋"/>
          <w:szCs w:val="28"/>
          <w:lang w:eastAsia="zh-CN"/>
        </w:rPr>
        <w:t>（14）服务对象满意度超过90%等。</w:t>
      </w:r>
    </w:p>
    <w:p>
      <w:pPr>
        <w:pStyle w:val="2"/>
        <w:spacing w:before="300" w:beforeLines="0" w:after="300" w:afterLines="0" w:line="480" w:lineRule="auto"/>
        <w:jc w:val="both"/>
        <w:rPr>
          <w:sz w:val="32"/>
          <w:lang w:eastAsia="zh-CN"/>
        </w:rPr>
      </w:pPr>
      <w:bookmarkStart w:id="59" w:name="_Toc3946"/>
      <w:bookmarkStart w:id="60" w:name="_Toc25209"/>
      <w:bookmarkStart w:id="61" w:name="_Toc4638"/>
      <w:bookmarkStart w:id="62" w:name="_Toc25458"/>
      <w:bookmarkStart w:id="63" w:name="_Toc76"/>
      <w:bookmarkStart w:id="64" w:name="_Toc489127698"/>
      <w:bookmarkStart w:id="65" w:name="_Toc23538"/>
      <w:bookmarkStart w:id="66" w:name="_Toc22516"/>
      <w:r>
        <w:rPr>
          <w:rFonts w:hint="eastAsia"/>
          <w:sz w:val="32"/>
          <w:lang w:eastAsia="zh-CN"/>
        </w:rPr>
        <w:t>二、项目评价工作情况</w:t>
      </w:r>
      <w:bookmarkEnd w:id="59"/>
      <w:bookmarkEnd w:id="60"/>
      <w:bookmarkEnd w:id="61"/>
      <w:bookmarkEnd w:id="62"/>
      <w:bookmarkEnd w:id="63"/>
    </w:p>
    <w:p>
      <w:pPr>
        <w:pStyle w:val="3"/>
        <w:spacing w:before="200" w:after="200" w:line="480" w:lineRule="auto"/>
        <w:jc w:val="both"/>
        <w:rPr>
          <w:lang w:eastAsia="zh-CN"/>
        </w:rPr>
      </w:pPr>
      <w:bookmarkStart w:id="67" w:name="_Toc29605"/>
      <w:bookmarkStart w:id="68" w:name="_Toc23024"/>
      <w:bookmarkStart w:id="69" w:name="_Toc2009"/>
      <w:bookmarkStart w:id="70" w:name="_Toc500019661"/>
      <w:bookmarkStart w:id="71" w:name="_Toc500089744"/>
      <w:bookmarkStart w:id="72" w:name="_Toc13744"/>
      <w:bookmarkStart w:id="73" w:name="_Toc31478"/>
      <w:r>
        <w:rPr>
          <w:rFonts w:hint="eastAsia"/>
          <w:lang w:eastAsia="zh-CN"/>
        </w:rPr>
        <w:t>（一）绩效评价目的</w:t>
      </w:r>
      <w:bookmarkEnd w:id="67"/>
      <w:bookmarkEnd w:id="68"/>
      <w:bookmarkEnd w:id="69"/>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财政支出绩效评价工作旨在全面反映预算资金产出和结果的经济性、效率性、效益性和公平性，通过绩效评价工作的开展及时发现问题并提出有效建议，引导项目资金分配更趋合理性，逐步地改善预算部门的财政支出管理，优化资源配置，同时绩效评价工作也强化了部门责任，明确了部门的工作职责，并最终提高了被评价单位的公共服务和行政执法水平。</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此次绩效评价工作遵循《财政部关于印发&lt;财政支出绩效评价管理暂行办法&gt;的通知》（财预〔2011〕285号）、《山西省预算绩效评价管理办法》（晋财资〔2014〕36号）等文件规定，运用科学合理的绩效评价指标和评价方法，客观、全面、公正地评价</w:t>
      </w:r>
      <w:r>
        <w:rPr>
          <w:rFonts w:hint="eastAsia" w:ascii="仿宋" w:hAnsi="仿宋" w:eastAsia="仿宋"/>
          <w:szCs w:val="28"/>
          <w:lang w:eastAsia="zh-CN"/>
        </w:rPr>
        <w:t>忻州市</w:t>
      </w:r>
      <w:r>
        <w:rPr>
          <w:rFonts w:hint="eastAsia" w:ascii="仿宋" w:hAnsi="仿宋" w:eastAsia="仿宋" w:cs="仿宋"/>
          <w:szCs w:val="28"/>
          <w:lang w:eastAsia="zh-CN"/>
        </w:rPr>
        <w:t>政务中心建设项目的实施开展情况，重点关注专项资金使用的效率性、效益性以及公平性，通过现场核查和对资金的绩效分析评价，结合政策导向和政策执行的效果，分析资金使用中所存在的问题，并提出具体可行的建议，并为其他财政支出项目提供借鉴。</w:t>
      </w:r>
    </w:p>
    <w:p>
      <w:pPr>
        <w:pStyle w:val="3"/>
        <w:spacing w:before="0" w:after="0" w:line="480" w:lineRule="auto"/>
        <w:jc w:val="both"/>
        <w:rPr>
          <w:lang w:eastAsia="zh-CN"/>
        </w:rPr>
      </w:pPr>
      <w:bookmarkStart w:id="74" w:name="_Toc8500"/>
      <w:bookmarkStart w:id="75" w:name="_Toc8387"/>
      <w:bookmarkStart w:id="76" w:name="_Toc22396"/>
      <w:r>
        <w:rPr>
          <w:rFonts w:hint="eastAsia"/>
          <w:lang w:eastAsia="zh-CN"/>
        </w:rPr>
        <w:t>（二）绩效评价原则</w:t>
      </w:r>
      <w:bookmarkEnd w:id="74"/>
      <w:bookmarkEnd w:id="75"/>
      <w:bookmarkEnd w:id="76"/>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1.绩效评价原则</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（1）科学规范原则</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注重财政支出的经济性、效率性和效益性，采用定量与定性相结合的方法。综合分析专项资金管理、使用、绩效等因素，规范评价工作流程，科学设置评价指标体系（详见附件2），确保绩效评价结果科学合理。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（2）客观公正原则</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本次部门整体支出绩效评价工作全过程公开透明，坚持第三方机构应遵循的公正原则开展绩效评价工作，接受社会的监督。</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（3）绩效相关原则</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针对各项支出及其产出绩效进行比较，使评价结果清晰反映支出和产出绩效之间的对应关系。本次评价流程及指标设计，以专项资金效率最大化为出发点，合理设置考核内容，力求评价内容与强化资金管理、优化资金使用效率相关。</w:t>
      </w:r>
    </w:p>
    <w:p>
      <w:pPr>
        <w:pStyle w:val="3"/>
        <w:rPr>
          <w:lang w:eastAsia="zh-CN"/>
        </w:rPr>
      </w:pPr>
      <w:bookmarkStart w:id="77" w:name="_Toc30316"/>
      <w:bookmarkStart w:id="78" w:name="_Toc11930"/>
      <w:bookmarkStart w:id="79" w:name="_Toc8141"/>
      <w:r>
        <w:rPr>
          <w:rFonts w:hint="eastAsia"/>
          <w:lang w:eastAsia="zh-CN"/>
        </w:rPr>
        <w:t>（三）评价指标</w:t>
      </w:r>
      <w:bookmarkEnd w:id="77"/>
      <w:bookmarkEnd w:id="78"/>
      <w:bookmarkEnd w:id="79"/>
    </w:p>
    <w:p>
      <w:pPr>
        <w:spacing w:after="0" w:line="480" w:lineRule="auto"/>
        <w:ind w:firstLine="560" w:firstLineChars="200"/>
        <w:jc w:val="both"/>
        <w:rPr>
          <w:rFonts w:ascii="仿宋" w:hAnsi="仿宋" w:eastAsia="仿宋" w:cs="仿宋"/>
          <w:lang w:eastAsia="zh-CN"/>
        </w:rPr>
      </w:pPr>
      <w:bookmarkStart w:id="80" w:name="_Toc8641"/>
      <w:bookmarkStart w:id="81" w:name="_Toc478814022"/>
      <w:r>
        <w:rPr>
          <w:rFonts w:hint="eastAsia" w:ascii="仿宋" w:hAnsi="仿宋" w:eastAsia="仿宋" w:cs="仿宋"/>
          <w:lang w:eastAsia="zh-CN"/>
        </w:rPr>
        <w:t>1.指标体系设计的总体思路</w:t>
      </w:r>
      <w:bookmarkEnd w:id="80"/>
      <w:bookmarkEnd w:id="81"/>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参照绩效评价的基本原理、原则和项目特点，评价组结合《忻州市人民政府关于印发&lt;忻州市全力加强政府自身建设2015年行动计划&gt;的通知》（忻政办发〔2015〕102号）、《山西省财政厅关于印发&lt;山西省财政厅2017年预算绩效评价实施方案&gt;的通知》（晋财绩〔2017〕5号）、《关于全面推进我省预算绩效管理的指导意见》（晋政办发〔2013〕80号）等相关文件要求，对项目从决策、管理和绩效三个维度进行评价。</w:t>
      </w:r>
    </w:p>
    <w:p>
      <w:pPr>
        <w:spacing w:after="0" w:line="480" w:lineRule="auto"/>
        <w:ind w:firstLine="560" w:firstLineChars="200"/>
        <w:jc w:val="both"/>
        <w:rPr>
          <w:rFonts w:ascii="仿宋" w:hAnsi="仿宋" w:eastAsia="仿宋" w:cs="仿宋"/>
          <w:lang w:eastAsia="zh-CN"/>
        </w:rPr>
      </w:pPr>
      <w:bookmarkStart w:id="82" w:name="_Toc448423007"/>
      <w:bookmarkStart w:id="83" w:name="_Toc478814023"/>
      <w:bookmarkStart w:id="84" w:name="_Toc11957"/>
      <w:r>
        <w:rPr>
          <w:rFonts w:hint="eastAsia" w:ascii="仿宋" w:hAnsi="仿宋" w:eastAsia="仿宋" w:cs="仿宋"/>
          <w:lang w:eastAsia="zh-CN"/>
        </w:rPr>
        <w:t>2.绩效评价指标体系</w:t>
      </w:r>
      <w:bookmarkEnd w:id="82"/>
      <w:bookmarkEnd w:id="83"/>
      <w:bookmarkEnd w:id="84"/>
    </w:p>
    <w:p>
      <w:pPr>
        <w:autoSpaceDE w:val="0"/>
        <w:autoSpaceDN w:val="0"/>
        <w:adjustRightInd w:val="0"/>
        <w:spacing w:after="0" w:line="480" w:lineRule="auto"/>
        <w:ind w:firstLine="560" w:firstLineChars="200"/>
        <w:jc w:val="both"/>
        <w:rPr>
          <w:rFonts w:ascii="仿宋" w:hAnsi="仿宋" w:eastAsia="仿宋" w:cs="仿宋"/>
          <w:szCs w:val="28"/>
          <w:lang w:eastAsia="zh-CN"/>
        </w:rPr>
      </w:pPr>
      <w:r>
        <w:rPr>
          <w:rFonts w:hint="eastAsia" w:ascii="仿宋" w:hAnsi="仿宋" w:eastAsia="仿宋"/>
          <w:szCs w:val="28"/>
          <w:lang w:eastAsia="zh-CN"/>
        </w:rPr>
        <w:t>评价组根据《财政支出绩效评价管理暂行办法》（财预〔2011〕285号）、《山西省预算绩效评价管理办法》（晋财资〔2014〕36号）等文件精神，遵循科学规范、公正公开、绩效相关的原则，结合项目的实际情况，从可操作性和可以量化的角度考虑，</w:t>
      </w:r>
      <w:r>
        <w:rPr>
          <w:rFonts w:hint="eastAsia" w:ascii="仿宋" w:hAnsi="仿宋" w:eastAsia="仿宋" w:cs="仿宋"/>
          <w:szCs w:val="28"/>
          <w:lang w:eastAsia="zh-CN"/>
        </w:rPr>
        <w:t>根据忻州市财政局预算投资评审中心《关于开展预算绩效评价项目工作的通知》（以下简称“通知”）文件精神，遵循相关性、重要性、可比性、系统性、经济性原则，形成了忻州市政务中心业务用房建设项目的绩效评价指标体系。支出绩效评价指标体系主要分为个性、共性指标，每方面设定3个级别的指标（分为一级指标、二级指标、三级指标）。其中一级指标严格按照通知中所附《忻州市市级部门（单位）项目支出绩效评价指标体系》设置，二级指标和三级指标在《忻州市市级部门（单位）项目支出绩效评价指标体系》的基础上，结合项目的实际情况，在可操作性和可量化方面对评价指标进行了进一步细化和调整，最终形成了3个一级指标，6个二级指标，19个三级指标的指标体系。具体指标体系如下表2-1：</w:t>
      </w:r>
    </w:p>
    <w:p>
      <w:pPr>
        <w:keepNext/>
        <w:keepLines/>
        <w:spacing w:after="0" w:line="480" w:lineRule="auto"/>
        <w:jc w:val="both"/>
        <w:rPr>
          <w:rFonts w:ascii="仿宋" w:hAnsi="仿宋" w:eastAsia="仿宋" w:cs="仿宋"/>
          <w:bCs/>
          <w:sz w:val="24"/>
          <w:szCs w:val="24"/>
          <w:lang w:eastAsia="zh-CN"/>
        </w:rPr>
      </w:pPr>
      <w:r>
        <w:rPr>
          <w:rFonts w:hint="eastAsia" w:ascii="仿宋" w:hAnsi="仿宋" w:eastAsia="仿宋" w:cs="仿宋"/>
          <w:bCs/>
          <w:sz w:val="24"/>
          <w:szCs w:val="24"/>
          <w:lang w:eastAsia="zh-CN"/>
        </w:rPr>
        <w:t>表2-1 忻州市政务服务中心业务用房建设工程项目资金的绩效评价指标体系</w:t>
      </w:r>
    </w:p>
    <w:tbl>
      <w:tblPr>
        <w:tblStyle w:val="16"/>
        <w:tblW w:w="8340" w:type="dxa"/>
        <w:jc w:val="center"/>
        <w:tblInd w:w="0" w:type="dxa"/>
        <w:tblLayout w:type="fixed"/>
        <w:tblCellMar>
          <w:top w:w="17" w:type="dxa"/>
          <w:left w:w="17" w:type="dxa"/>
          <w:bottom w:w="17" w:type="dxa"/>
          <w:right w:w="17" w:type="dxa"/>
        </w:tblCellMar>
      </w:tblPr>
      <w:tblGrid>
        <w:gridCol w:w="1431"/>
        <w:gridCol w:w="3467"/>
        <w:gridCol w:w="3442"/>
      </w:tblGrid>
      <w:tr>
        <w:tblPrEx>
          <w:tblLayout w:type="fixed"/>
          <w:tblCellMar>
            <w:top w:w="17" w:type="dxa"/>
            <w:left w:w="17" w:type="dxa"/>
            <w:bottom w:w="17" w:type="dxa"/>
            <w:right w:w="17" w:type="dxa"/>
          </w:tblCellMar>
        </w:tblPrEx>
        <w:trPr>
          <w:trHeight w:val="510" w:hRule="atLeast"/>
          <w:tblHeader/>
          <w:jc w:val="center"/>
        </w:trPr>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bCs/>
                <w:color w:val="000000"/>
                <w:sz w:val="24"/>
                <w:szCs w:val="24"/>
                <w:lang w:eastAsia="zh-CN" w:bidi="ar"/>
              </w:rPr>
              <w:t>一级指标</w:t>
            </w:r>
          </w:p>
        </w:tc>
        <w:tc>
          <w:tcPr>
            <w:tcW w:w="346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bCs/>
                <w:color w:val="000000"/>
                <w:sz w:val="24"/>
                <w:szCs w:val="24"/>
                <w:lang w:eastAsia="zh-CN" w:bidi="ar"/>
              </w:rPr>
              <w:t>二级指标</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lang w:eastAsia="zh-CN"/>
              </w:rPr>
            </w:pPr>
            <w:r>
              <w:rPr>
                <w:rFonts w:hint="eastAsia" w:ascii="仿宋" w:hAnsi="仿宋" w:eastAsia="仿宋" w:cs="仿宋"/>
                <w:bCs/>
                <w:color w:val="000000"/>
                <w:sz w:val="24"/>
                <w:szCs w:val="24"/>
                <w:lang w:eastAsia="zh-CN" w:bidi="ar"/>
              </w:rPr>
              <w:t>三级指标</w:t>
            </w:r>
          </w:p>
        </w:tc>
      </w:tr>
      <w:tr>
        <w:tblPrEx>
          <w:tblLayout w:type="fixed"/>
          <w:tblCellMar>
            <w:top w:w="17" w:type="dxa"/>
            <w:left w:w="17" w:type="dxa"/>
            <w:bottom w:w="17" w:type="dxa"/>
            <w:right w:w="17" w:type="dxa"/>
          </w:tblCellMar>
        </w:tblPrEx>
        <w:trPr>
          <w:trHeight w:val="510" w:hRule="atLeast"/>
          <w:jc w:val="center"/>
        </w:trPr>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A1项目决策</w:t>
            </w:r>
          </w:p>
        </w:tc>
        <w:tc>
          <w:tcPr>
            <w:tcW w:w="3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B11项目目标</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C111目标规范</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C112目标合理</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C113指标明确</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B12决策过程</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C121决策依据</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C122决策程序</w:t>
            </w:r>
          </w:p>
        </w:tc>
      </w:tr>
      <w:tr>
        <w:tblPrEx>
          <w:tblLayout w:type="fixed"/>
          <w:tblCellMar>
            <w:top w:w="17" w:type="dxa"/>
            <w:left w:w="17" w:type="dxa"/>
            <w:bottom w:w="17" w:type="dxa"/>
            <w:right w:w="17" w:type="dxa"/>
          </w:tblCellMar>
        </w:tblPrEx>
        <w:trPr>
          <w:trHeight w:val="510" w:hRule="atLeast"/>
          <w:jc w:val="center"/>
        </w:trPr>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A2项目管理</w:t>
            </w:r>
          </w:p>
        </w:tc>
        <w:tc>
          <w:tcPr>
            <w:tcW w:w="3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B21资金管理</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C211资金到位</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C212资金使用</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C213财务管理</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B22项目管控</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C221制度有效</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C222进度管理</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C223成本管理</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cs="仿宋"/>
                <w:color w:val="000000"/>
                <w:sz w:val="20"/>
                <w:szCs w:val="20"/>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C224质量管理</w:t>
            </w:r>
          </w:p>
        </w:tc>
      </w:tr>
      <w:tr>
        <w:tblPrEx>
          <w:tblLayout w:type="fixed"/>
          <w:tblCellMar>
            <w:top w:w="17" w:type="dxa"/>
            <w:left w:w="17" w:type="dxa"/>
            <w:bottom w:w="17" w:type="dxa"/>
            <w:right w:w="17" w:type="dxa"/>
          </w:tblCellMar>
        </w:tblPrEx>
        <w:trPr>
          <w:trHeight w:val="510" w:hRule="atLeast"/>
          <w:jc w:val="center"/>
        </w:trPr>
        <w:tc>
          <w:tcPr>
            <w:tcW w:w="1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rPr>
            </w:pPr>
            <w:r>
              <w:rPr>
                <w:rFonts w:hint="eastAsia" w:ascii="仿宋" w:hAnsi="仿宋" w:eastAsia="仿宋" w:cs="仿宋"/>
                <w:color w:val="000000"/>
                <w:sz w:val="24"/>
                <w:szCs w:val="24"/>
                <w:lang w:eastAsia="zh-CN" w:bidi="ar"/>
              </w:rPr>
              <w:t>A3项目绩效</w:t>
            </w:r>
          </w:p>
        </w:tc>
        <w:tc>
          <w:tcPr>
            <w:tcW w:w="3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lang w:eastAsia="zh-CN"/>
              </w:rPr>
            </w:pPr>
            <w:r>
              <w:rPr>
                <w:rFonts w:hint="eastAsia" w:ascii="仿宋" w:hAnsi="仿宋" w:eastAsia="仿宋" w:cs="仿宋"/>
                <w:color w:val="000000"/>
                <w:sz w:val="24"/>
                <w:szCs w:val="24"/>
                <w:lang w:eastAsia="zh-CN" w:bidi="ar"/>
              </w:rPr>
              <w:t>B31项目产出</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C311产出数量</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C312产出质量</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C313产出时效</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C314产出成本</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highlight w:val="yellow"/>
                <w:lang w:eastAsia="zh-CN"/>
              </w:rPr>
            </w:pPr>
            <w:r>
              <w:rPr>
                <w:rFonts w:hint="eastAsia" w:ascii="仿宋" w:hAnsi="仿宋" w:eastAsia="仿宋" w:cs="仿宋"/>
                <w:color w:val="000000"/>
                <w:sz w:val="24"/>
                <w:szCs w:val="24"/>
                <w:lang w:eastAsia="zh-CN" w:bidi="ar"/>
              </w:rPr>
              <w:t>B32项目效果</w:t>
            </w: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C321社会效益</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lang w:eastAsia="zh-CN"/>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C322可持续影响</w:t>
            </w:r>
          </w:p>
        </w:tc>
      </w:tr>
      <w:tr>
        <w:tblPrEx>
          <w:tblLayout w:type="fixed"/>
          <w:tblCellMar>
            <w:top w:w="17" w:type="dxa"/>
            <w:left w:w="17" w:type="dxa"/>
            <w:bottom w:w="17" w:type="dxa"/>
            <w:right w:w="17" w:type="dxa"/>
          </w:tblCellMar>
        </w:tblPrEx>
        <w:trPr>
          <w:trHeight w:val="510" w:hRule="atLeast"/>
          <w:jc w:val="center"/>
        </w:trPr>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highlight w:val="yellow"/>
              </w:rPr>
            </w:pPr>
          </w:p>
        </w:tc>
        <w:tc>
          <w:tcPr>
            <w:tcW w:w="34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C323服务对象满意度</w:t>
            </w:r>
          </w:p>
        </w:tc>
      </w:tr>
    </w:tbl>
    <w:p>
      <w:pPr>
        <w:pStyle w:val="3"/>
        <w:spacing w:before="0" w:after="0" w:line="480" w:lineRule="auto"/>
        <w:jc w:val="both"/>
        <w:rPr>
          <w:lang w:eastAsia="zh-CN"/>
        </w:rPr>
      </w:pPr>
      <w:bookmarkStart w:id="85" w:name="_Toc31362"/>
      <w:bookmarkStart w:id="86" w:name="_Toc1556"/>
      <w:bookmarkStart w:id="87" w:name="_Toc21795"/>
      <w:r>
        <w:rPr>
          <w:rFonts w:hint="eastAsia"/>
          <w:lang w:eastAsia="zh-CN"/>
        </w:rPr>
        <w:t>（四）评价的组织情况</w:t>
      </w:r>
      <w:bookmarkEnd w:id="85"/>
      <w:bookmarkEnd w:id="86"/>
      <w:bookmarkEnd w:id="87"/>
    </w:p>
    <w:p>
      <w:pPr>
        <w:widowControl w:val="0"/>
        <w:spacing w:after="0" w:line="480" w:lineRule="auto"/>
        <w:ind w:firstLine="560" w:firstLineChars="200"/>
        <w:jc w:val="both"/>
        <w:rPr>
          <w:rFonts w:ascii="仿宋" w:hAnsi="仿宋" w:eastAsia="仿宋" w:cs="仿宋"/>
          <w:szCs w:val="28"/>
        </w:rPr>
      </w:pPr>
      <w:bookmarkStart w:id="88" w:name="_Toc30551"/>
      <w:bookmarkStart w:id="89" w:name="_Toc478814037"/>
      <w:r>
        <w:rPr>
          <w:rFonts w:hint="eastAsia" w:ascii="仿宋" w:hAnsi="仿宋" w:eastAsia="仿宋" w:cs="仿宋"/>
          <w:szCs w:val="28"/>
          <w:lang w:eastAsia="zh-CN"/>
        </w:rPr>
        <w:t>1.</w:t>
      </w:r>
      <w:r>
        <w:rPr>
          <w:rFonts w:hint="eastAsia" w:ascii="仿宋" w:hAnsi="仿宋" w:eastAsia="仿宋" w:cs="仿宋"/>
          <w:szCs w:val="28"/>
        </w:rPr>
        <w:t>评价工作组人员分工</w:t>
      </w:r>
      <w:bookmarkEnd w:id="88"/>
      <w:bookmarkEnd w:id="89"/>
    </w:p>
    <w:p>
      <w:pPr>
        <w:autoSpaceDE w:val="0"/>
        <w:autoSpaceDN w:val="0"/>
        <w:adjustRightInd w:val="0"/>
        <w:spacing w:after="0" w:line="480" w:lineRule="auto"/>
        <w:ind w:firstLine="560" w:firstLineChars="200"/>
        <w:rPr>
          <w:rFonts w:ascii="仿宋" w:hAnsi="仿宋" w:eastAsia="仿宋"/>
          <w:szCs w:val="28"/>
          <w:lang w:eastAsia="zh-CN"/>
        </w:rPr>
      </w:pPr>
      <w:r>
        <w:rPr>
          <w:rFonts w:ascii="仿宋" w:hAnsi="仿宋" w:eastAsia="仿宋"/>
          <w:szCs w:val="28"/>
          <w:lang w:eastAsia="zh-CN"/>
        </w:rPr>
        <w:t>项目组设领导组和工作组，领导组主要负责评价方案的制定、组织评价人员的培训、实施过程的组织协调和督导、报告的撰写、审核等。领导组人员及分工见表</w:t>
      </w:r>
      <w:r>
        <w:rPr>
          <w:rFonts w:hint="eastAsia" w:ascii="仿宋" w:hAnsi="仿宋" w:eastAsia="仿宋"/>
          <w:szCs w:val="28"/>
          <w:lang w:eastAsia="zh-CN"/>
        </w:rPr>
        <w:t>2</w:t>
      </w:r>
      <w:r>
        <w:rPr>
          <w:rFonts w:ascii="仿宋" w:hAnsi="仿宋" w:eastAsia="仿宋"/>
          <w:szCs w:val="28"/>
          <w:lang w:eastAsia="zh-CN"/>
        </w:rPr>
        <w:t>-1</w:t>
      </w:r>
      <w:r>
        <w:rPr>
          <w:rFonts w:hint="eastAsia" w:ascii="仿宋" w:hAnsi="仿宋" w:eastAsia="仿宋"/>
          <w:szCs w:val="28"/>
          <w:lang w:eastAsia="zh-CN"/>
        </w:rPr>
        <w:t>：</w:t>
      </w:r>
    </w:p>
    <w:p>
      <w:pPr>
        <w:autoSpaceDE w:val="0"/>
        <w:autoSpaceDN w:val="0"/>
        <w:adjustRightInd w:val="0"/>
        <w:spacing w:before="312" w:beforeLines="100" w:after="0" w:line="360" w:lineRule="auto"/>
        <w:jc w:val="center"/>
        <w:rPr>
          <w:rFonts w:ascii="仿宋" w:hAnsi="仿宋" w:eastAsia="仿宋" w:cs="仿宋"/>
          <w:sz w:val="24"/>
          <w:szCs w:val="24"/>
          <w:lang w:eastAsia="zh-CN"/>
        </w:rPr>
      </w:pPr>
    </w:p>
    <w:p>
      <w:pPr>
        <w:autoSpaceDE w:val="0"/>
        <w:autoSpaceDN w:val="0"/>
        <w:adjustRightInd w:val="0"/>
        <w:spacing w:before="312" w:beforeLines="100" w:after="0" w:line="360" w:lineRule="auto"/>
        <w:jc w:val="center"/>
        <w:rPr>
          <w:rFonts w:ascii="仿宋" w:hAnsi="仿宋" w:eastAsia="仿宋" w:cs="仿宋"/>
          <w:sz w:val="24"/>
          <w:szCs w:val="24"/>
          <w:lang w:eastAsia="zh-CN"/>
        </w:rPr>
      </w:pPr>
    </w:p>
    <w:p>
      <w:pPr>
        <w:autoSpaceDE w:val="0"/>
        <w:autoSpaceDN w:val="0"/>
        <w:adjustRightInd w:val="0"/>
        <w:spacing w:before="312" w:beforeLines="100" w:after="0" w:line="360" w:lineRule="auto"/>
        <w:jc w:val="center"/>
        <w:rPr>
          <w:rFonts w:ascii="仿宋" w:hAnsi="仿宋" w:eastAsia="仿宋" w:cs="仿宋"/>
          <w:sz w:val="24"/>
          <w:szCs w:val="24"/>
        </w:rPr>
      </w:pPr>
      <w:r>
        <w:rPr>
          <w:rFonts w:hint="eastAsia" w:ascii="仿宋" w:hAnsi="仿宋" w:eastAsia="仿宋" w:cs="仿宋"/>
          <w:sz w:val="24"/>
          <w:szCs w:val="24"/>
        </w:rPr>
        <w:t>表</w:t>
      </w:r>
      <w:r>
        <w:rPr>
          <w:rFonts w:hint="eastAsia" w:ascii="仿宋" w:hAnsi="仿宋" w:eastAsia="仿宋" w:cs="仿宋"/>
          <w:sz w:val="24"/>
          <w:szCs w:val="24"/>
          <w:lang w:eastAsia="zh-CN"/>
        </w:rPr>
        <w:t>2</w:t>
      </w:r>
      <w:r>
        <w:rPr>
          <w:rFonts w:hint="eastAsia" w:ascii="仿宋" w:hAnsi="仿宋" w:eastAsia="仿宋" w:cs="仿宋"/>
          <w:sz w:val="24"/>
          <w:szCs w:val="24"/>
        </w:rPr>
        <w:t>-1 领导组人员分工表</w:t>
      </w:r>
    </w:p>
    <w:tbl>
      <w:tblPr>
        <w:tblStyle w:val="16"/>
        <w:tblW w:w="8522" w:type="dxa"/>
        <w:tblInd w:w="0" w:type="dxa"/>
        <w:tblLayout w:type="fixed"/>
        <w:tblCellMar>
          <w:top w:w="0" w:type="dxa"/>
          <w:left w:w="108" w:type="dxa"/>
          <w:bottom w:w="0" w:type="dxa"/>
          <w:right w:w="108" w:type="dxa"/>
        </w:tblCellMar>
      </w:tblPr>
      <w:tblGrid>
        <w:gridCol w:w="1063"/>
        <w:gridCol w:w="1110"/>
        <w:gridCol w:w="1665"/>
        <w:gridCol w:w="4684"/>
      </w:tblGrid>
      <w:tr>
        <w:tblPrEx>
          <w:tblLayout w:type="fixed"/>
          <w:tblCellMar>
            <w:top w:w="0" w:type="dxa"/>
            <w:left w:w="108" w:type="dxa"/>
            <w:bottom w:w="0" w:type="dxa"/>
            <w:right w:w="108" w:type="dxa"/>
          </w:tblCellMar>
        </w:tblPrEx>
        <w:trPr>
          <w:trHeight w:val="624" w:hRule="atLeast"/>
        </w:trPr>
        <w:tc>
          <w:tcPr>
            <w:tcW w:w="1063"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p>
        </w:tc>
        <w:tc>
          <w:tcPr>
            <w:tcW w:w="1110"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姓名</w:t>
            </w:r>
          </w:p>
        </w:tc>
        <w:tc>
          <w:tcPr>
            <w:tcW w:w="1665"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职务</w:t>
            </w:r>
          </w:p>
        </w:tc>
        <w:tc>
          <w:tcPr>
            <w:tcW w:w="4684"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职责分工</w:t>
            </w:r>
          </w:p>
        </w:tc>
      </w:tr>
      <w:tr>
        <w:tblPrEx>
          <w:tblLayout w:type="fixed"/>
          <w:tblCellMar>
            <w:top w:w="0" w:type="dxa"/>
            <w:left w:w="108" w:type="dxa"/>
            <w:bottom w:w="0" w:type="dxa"/>
            <w:right w:w="108" w:type="dxa"/>
          </w:tblCellMar>
        </w:tblPrEx>
        <w:trPr>
          <w:trHeight w:val="624" w:hRule="atLeast"/>
        </w:trPr>
        <w:tc>
          <w:tcPr>
            <w:tcW w:w="1063" w:type="dxa"/>
            <w:tcBorders>
              <w:top w:val="nil"/>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组</w:t>
            </w:r>
            <w:r>
              <w:rPr>
                <w:rFonts w:hint="eastAsia" w:ascii="仿宋" w:hAnsi="仿宋" w:eastAsia="仿宋" w:cs="仿宋"/>
                <w:sz w:val="24"/>
                <w:szCs w:val="24"/>
                <w:lang w:eastAsia="zh-CN"/>
              </w:rPr>
              <w:t xml:space="preserve">  </w:t>
            </w:r>
            <w:r>
              <w:rPr>
                <w:rFonts w:hint="eastAsia" w:ascii="仿宋" w:hAnsi="仿宋" w:eastAsia="仿宋" w:cs="仿宋"/>
                <w:sz w:val="24"/>
                <w:szCs w:val="24"/>
              </w:rPr>
              <w:t>长</w:t>
            </w:r>
          </w:p>
        </w:tc>
        <w:tc>
          <w:tcPr>
            <w:tcW w:w="1110"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lang w:eastAsia="zh-CN"/>
              </w:rPr>
              <w:t>王  倩</w:t>
            </w:r>
          </w:p>
        </w:tc>
        <w:tc>
          <w:tcPr>
            <w:tcW w:w="1665"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项目负责人</w:t>
            </w:r>
          </w:p>
        </w:tc>
        <w:tc>
          <w:tcPr>
            <w:tcW w:w="4684"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负责统筹协调</w:t>
            </w:r>
          </w:p>
        </w:tc>
      </w:tr>
      <w:tr>
        <w:tblPrEx>
          <w:tblLayout w:type="fixed"/>
          <w:tblCellMar>
            <w:top w:w="0" w:type="dxa"/>
            <w:left w:w="108" w:type="dxa"/>
            <w:bottom w:w="0" w:type="dxa"/>
            <w:right w:w="108" w:type="dxa"/>
          </w:tblCellMar>
        </w:tblPrEx>
        <w:trPr>
          <w:trHeight w:val="624" w:hRule="atLeast"/>
        </w:trPr>
        <w:tc>
          <w:tcPr>
            <w:tcW w:w="1063" w:type="dxa"/>
            <w:tcBorders>
              <w:top w:val="nil"/>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副组长</w:t>
            </w:r>
          </w:p>
        </w:tc>
        <w:tc>
          <w:tcPr>
            <w:tcW w:w="1110"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康  钰</w:t>
            </w:r>
          </w:p>
        </w:tc>
        <w:tc>
          <w:tcPr>
            <w:tcW w:w="1665"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项目经理</w:t>
            </w:r>
          </w:p>
        </w:tc>
        <w:tc>
          <w:tcPr>
            <w:tcW w:w="4684"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负责评价方案的制定</w:t>
            </w:r>
          </w:p>
        </w:tc>
      </w:tr>
      <w:tr>
        <w:tblPrEx>
          <w:tblLayout w:type="fixed"/>
          <w:tblCellMar>
            <w:top w:w="0" w:type="dxa"/>
            <w:left w:w="108" w:type="dxa"/>
            <w:bottom w:w="0" w:type="dxa"/>
            <w:right w:w="108" w:type="dxa"/>
          </w:tblCellMar>
        </w:tblPrEx>
        <w:trPr>
          <w:trHeight w:val="624" w:hRule="atLeast"/>
        </w:trPr>
        <w:tc>
          <w:tcPr>
            <w:tcW w:w="1063" w:type="dxa"/>
            <w:tcBorders>
              <w:top w:val="nil"/>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副组长</w:t>
            </w:r>
          </w:p>
        </w:tc>
        <w:tc>
          <w:tcPr>
            <w:tcW w:w="1110"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李飞飞</w:t>
            </w:r>
          </w:p>
        </w:tc>
        <w:tc>
          <w:tcPr>
            <w:tcW w:w="1665"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项目经理</w:t>
            </w:r>
          </w:p>
        </w:tc>
        <w:tc>
          <w:tcPr>
            <w:tcW w:w="4684"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实施过程的组织协调和督导</w:t>
            </w:r>
          </w:p>
        </w:tc>
      </w:tr>
      <w:tr>
        <w:tblPrEx>
          <w:tblLayout w:type="fixed"/>
          <w:tblCellMar>
            <w:top w:w="0" w:type="dxa"/>
            <w:left w:w="108" w:type="dxa"/>
            <w:bottom w:w="0" w:type="dxa"/>
            <w:right w:w="108" w:type="dxa"/>
          </w:tblCellMar>
        </w:tblPrEx>
        <w:trPr>
          <w:trHeight w:val="624" w:hRule="atLeast"/>
        </w:trPr>
        <w:tc>
          <w:tcPr>
            <w:tcW w:w="1063"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副组长</w:t>
            </w:r>
          </w:p>
        </w:tc>
        <w:tc>
          <w:tcPr>
            <w:tcW w:w="1110"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王  宽</w:t>
            </w:r>
          </w:p>
        </w:tc>
        <w:tc>
          <w:tcPr>
            <w:tcW w:w="1665"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项目经理</w:t>
            </w:r>
          </w:p>
        </w:tc>
        <w:tc>
          <w:tcPr>
            <w:tcW w:w="4684"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报告的撰写</w:t>
            </w:r>
            <w:r>
              <w:rPr>
                <w:rFonts w:hint="eastAsia" w:ascii="仿宋" w:hAnsi="仿宋" w:eastAsia="仿宋" w:cs="仿宋"/>
                <w:sz w:val="24"/>
                <w:szCs w:val="24"/>
                <w:lang w:eastAsia="zh-CN"/>
              </w:rPr>
              <w:t>与</w:t>
            </w:r>
            <w:r>
              <w:rPr>
                <w:rFonts w:hint="eastAsia" w:ascii="仿宋" w:hAnsi="仿宋" w:eastAsia="仿宋" w:cs="仿宋"/>
                <w:sz w:val="24"/>
                <w:szCs w:val="24"/>
              </w:rPr>
              <w:t>审核</w:t>
            </w:r>
          </w:p>
        </w:tc>
      </w:tr>
      <w:tr>
        <w:tblPrEx>
          <w:tblLayout w:type="fixed"/>
          <w:tblCellMar>
            <w:top w:w="0" w:type="dxa"/>
            <w:left w:w="108" w:type="dxa"/>
            <w:bottom w:w="0" w:type="dxa"/>
            <w:right w:w="108" w:type="dxa"/>
          </w:tblCellMar>
        </w:tblPrEx>
        <w:trPr>
          <w:trHeight w:val="624" w:hRule="atLeast"/>
        </w:trPr>
        <w:tc>
          <w:tcPr>
            <w:tcW w:w="1063"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副组长</w:t>
            </w:r>
          </w:p>
        </w:tc>
        <w:tc>
          <w:tcPr>
            <w:tcW w:w="1110"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王  娇</w:t>
            </w:r>
          </w:p>
        </w:tc>
        <w:tc>
          <w:tcPr>
            <w:tcW w:w="1665"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项目经理</w:t>
            </w:r>
          </w:p>
        </w:tc>
        <w:tc>
          <w:tcPr>
            <w:tcW w:w="4684"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组织评价人员的培训</w:t>
            </w:r>
          </w:p>
        </w:tc>
      </w:tr>
    </w:tbl>
    <w:p>
      <w:pPr>
        <w:spacing w:after="0" w:line="480" w:lineRule="auto"/>
        <w:ind w:firstLine="560" w:firstLineChars="200"/>
        <w:rPr>
          <w:rFonts w:ascii="仿宋" w:hAnsi="仿宋" w:eastAsia="仿宋" w:cs="仿宋"/>
          <w:szCs w:val="28"/>
          <w:lang w:eastAsia="zh-CN"/>
        </w:rPr>
      </w:pPr>
      <w:r>
        <w:rPr>
          <w:rFonts w:ascii="仿宋" w:hAnsi="仿宋" w:eastAsia="仿宋"/>
          <w:szCs w:val="28"/>
          <w:lang w:eastAsia="zh-CN"/>
        </w:rPr>
        <w:t>工作组主要负责现场</w:t>
      </w:r>
      <w:r>
        <w:rPr>
          <w:rFonts w:hint="eastAsia" w:ascii="仿宋" w:hAnsi="仿宋" w:eastAsia="仿宋"/>
          <w:szCs w:val="28"/>
          <w:lang w:eastAsia="zh-CN"/>
        </w:rPr>
        <w:t>核查</w:t>
      </w:r>
      <w:r>
        <w:rPr>
          <w:rFonts w:ascii="仿宋" w:hAnsi="仿宋" w:eastAsia="仿宋"/>
          <w:szCs w:val="28"/>
          <w:lang w:eastAsia="zh-CN"/>
        </w:rPr>
        <w:t>、相关资料的收集、整理、开展问卷调查工作，撰写</w:t>
      </w:r>
      <w:r>
        <w:rPr>
          <w:rFonts w:hint="eastAsia" w:ascii="仿宋" w:hAnsi="仿宋" w:eastAsia="仿宋"/>
          <w:szCs w:val="28"/>
          <w:lang w:eastAsia="zh-CN"/>
        </w:rPr>
        <w:t>项目方案</w:t>
      </w:r>
      <w:r>
        <w:rPr>
          <w:rFonts w:ascii="仿宋" w:hAnsi="仿宋" w:eastAsia="仿宋"/>
          <w:szCs w:val="28"/>
          <w:lang w:eastAsia="zh-CN"/>
        </w:rPr>
        <w:t>等。</w:t>
      </w:r>
    </w:p>
    <w:p>
      <w:pPr>
        <w:pStyle w:val="3"/>
        <w:spacing w:before="0" w:after="0" w:line="480" w:lineRule="auto"/>
        <w:jc w:val="both"/>
        <w:rPr>
          <w:lang w:eastAsia="zh-CN"/>
        </w:rPr>
      </w:pPr>
      <w:bookmarkStart w:id="90" w:name="_Toc30961"/>
      <w:bookmarkStart w:id="91" w:name="_Toc3309"/>
      <w:bookmarkStart w:id="92" w:name="_Toc14375"/>
      <w:r>
        <w:rPr>
          <w:rFonts w:hint="eastAsia"/>
          <w:lang w:eastAsia="zh-CN"/>
        </w:rPr>
        <w:t>（五）时间安排</w:t>
      </w:r>
      <w:bookmarkEnd w:id="90"/>
      <w:bookmarkEnd w:id="91"/>
      <w:bookmarkEnd w:id="92"/>
    </w:p>
    <w:p>
      <w:pPr>
        <w:keepNext w:val="0"/>
        <w:keepLines w:val="0"/>
        <w:pageBreakBefore w:val="0"/>
        <w:widowControl/>
        <w:kinsoku/>
        <w:wordWrap/>
        <w:overflowPunct/>
        <w:topLinePunct w:val="0"/>
        <w:autoSpaceDE/>
        <w:autoSpaceDN/>
        <w:bidi w:val="0"/>
        <w:adjustRightInd/>
        <w:snapToGrid/>
        <w:spacing w:after="0" w:line="480" w:lineRule="auto"/>
        <w:ind w:left="0" w:leftChars="0" w:right="0" w:rightChars="0" w:firstLine="560" w:firstLineChars="200"/>
        <w:jc w:val="both"/>
        <w:textAlignment w:val="auto"/>
        <w:outlineLvl w:val="9"/>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年0</w:t>
      </w:r>
      <w:r>
        <w:rPr>
          <w:rFonts w:hint="eastAsia" w:ascii="仿宋" w:hAnsi="仿宋" w:eastAsia="仿宋" w:cs="仿宋"/>
          <w:bCs/>
          <w:szCs w:val="28"/>
          <w:lang w:eastAsia="zh-CN"/>
        </w:rPr>
        <w:t>1</w:t>
      </w:r>
      <w:r>
        <w:rPr>
          <w:rFonts w:hint="eastAsia" w:ascii="仿宋" w:hAnsi="仿宋" w:eastAsia="仿宋" w:cs="仿宋"/>
          <w:szCs w:val="28"/>
          <w:lang w:eastAsia="zh-CN"/>
        </w:rPr>
        <w:t>月04日至20</w:t>
      </w:r>
      <w:r>
        <w:rPr>
          <w:rFonts w:hint="eastAsia" w:ascii="仿宋" w:hAnsi="仿宋" w:eastAsia="仿宋" w:cs="仿宋"/>
          <w:bCs/>
          <w:szCs w:val="28"/>
          <w:lang w:eastAsia="zh-CN"/>
        </w:rPr>
        <w:t>18</w:t>
      </w:r>
      <w:r>
        <w:rPr>
          <w:rFonts w:hint="eastAsia" w:ascii="仿宋" w:hAnsi="仿宋" w:eastAsia="仿宋" w:cs="仿宋"/>
          <w:szCs w:val="28"/>
          <w:lang w:eastAsia="zh-CN"/>
        </w:rPr>
        <w:t>年0</w:t>
      </w:r>
      <w:r>
        <w:rPr>
          <w:rFonts w:hint="eastAsia" w:ascii="仿宋" w:hAnsi="仿宋" w:eastAsia="仿宋" w:cs="仿宋"/>
          <w:bCs/>
          <w:szCs w:val="28"/>
          <w:lang w:eastAsia="zh-CN"/>
        </w:rPr>
        <w:t>1月19日为评价准备阶段。</w:t>
      </w:r>
    </w:p>
    <w:p>
      <w:pPr>
        <w:keepNext w:val="0"/>
        <w:keepLines w:val="0"/>
        <w:pageBreakBefore w:val="0"/>
        <w:widowControl/>
        <w:kinsoku/>
        <w:wordWrap/>
        <w:overflowPunct/>
        <w:topLinePunct w:val="0"/>
        <w:autoSpaceDE/>
        <w:autoSpaceDN/>
        <w:bidi w:val="0"/>
        <w:adjustRightInd/>
        <w:snapToGrid/>
        <w:spacing w:after="0" w:line="480" w:lineRule="auto"/>
        <w:ind w:left="0" w:leftChars="0" w:right="0" w:rightChars="0" w:firstLine="560" w:firstLineChars="200"/>
        <w:jc w:val="both"/>
        <w:textAlignment w:val="auto"/>
        <w:outlineLvl w:val="9"/>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年0</w:t>
      </w:r>
      <w:r>
        <w:rPr>
          <w:rFonts w:hint="eastAsia" w:ascii="仿宋" w:hAnsi="仿宋" w:eastAsia="仿宋" w:cs="仿宋"/>
          <w:bCs/>
          <w:szCs w:val="28"/>
          <w:lang w:eastAsia="zh-CN"/>
        </w:rPr>
        <w:t>1</w:t>
      </w:r>
      <w:r>
        <w:rPr>
          <w:rFonts w:hint="eastAsia" w:ascii="仿宋" w:hAnsi="仿宋" w:eastAsia="仿宋" w:cs="仿宋"/>
          <w:szCs w:val="28"/>
          <w:lang w:eastAsia="zh-CN"/>
        </w:rPr>
        <w:t>月</w:t>
      </w:r>
      <w:r>
        <w:rPr>
          <w:rFonts w:hint="eastAsia" w:ascii="仿宋" w:hAnsi="仿宋" w:eastAsia="仿宋" w:cs="仿宋"/>
          <w:bCs/>
          <w:szCs w:val="28"/>
          <w:lang w:eastAsia="zh-CN"/>
        </w:rPr>
        <w:t>20</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年0</w:t>
      </w:r>
      <w:r>
        <w:rPr>
          <w:rFonts w:hint="eastAsia" w:ascii="仿宋" w:hAnsi="仿宋" w:eastAsia="仿宋" w:cs="仿宋"/>
          <w:bCs/>
          <w:szCs w:val="28"/>
          <w:lang w:eastAsia="zh-CN"/>
        </w:rPr>
        <w:t>2月05日为评价实施阶段。</w:t>
      </w:r>
    </w:p>
    <w:p>
      <w:pPr>
        <w:keepNext w:val="0"/>
        <w:keepLines w:val="0"/>
        <w:pageBreakBefore w:val="0"/>
        <w:widowControl/>
        <w:kinsoku/>
        <w:wordWrap/>
        <w:overflowPunct/>
        <w:topLinePunct w:val="0"/>
        <w:autoSpaceDE/>
        <w:autoSpaceDN/>
        <w:bidi w:val="0"/>
        <w:adjustRightInd/>
        <w:snapToGrid/>
        <w:spacing w:after="0" w:line="480" w:lineRule="auto"/>
        <w:ind w:left="0" w:leftChars="0" w:right="0" w:rightChars="0" w:firstLine="560" w:firstLineChars="200"/>
        <w:jc w:val="both"/>
        <w:textAlignment w:val="auto"/>
        <w:outlineLvl w:val="9"/>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年0</w:t>
      </w:r>
      <w:r>
        <w:rPr>
          <w:rFonts w:hint="eastAsia" w:ascii="仿宋" w:hAnsi="仿宋" w:eastAsia="仿宋" w:cs="仿宋"/>
          <w:bCs/>
          <w:szCs w:val="28"/>
          <w:lang w:eastAsia="zh-CN"/>
        </w:rPr>
        <w:t>2</w:t>
      </w:r>
      <w:r>
        <w:rPr>
          <w:rFonts w:hint="eastAsia" w:ascii="仿宋" w:hAnsi="仿宋" w:eastAsia="仿宋" w:cs="仿宋"/>
          <w:szCs w:val="28"/>
          <w:lang w:eastAsia="zh-CN"/>
        </w:rPr>
        <w:t>月0</w:t>
      </w:r>
      <w:r>
        <w:rPr>
          <w:rFonts w:hint="eastAsia" w:ascii="仿宋" w:hAnsi="仿宋" w:eastAsia="仿宋" w:cs="仿宋"/>
          <w:bCs/>
          <w:szCs w:val="28"/>
          <w:lang w:eastAsia="zh-CN"/>
        </w:rPr>
        <w:t>6</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年03</w:t>
      </w:r>
      <w:r>
        <w:rPr>
          <w:rFonts w:hint="eastAsia" w:ascii="仿宋" w:hAnsi="仿宋" w:eastAsia="仿宋" w:cs="仿宋"/>
          <w:bCs/>
          <w:szCs w:val="28"/>
          <w:lang w:eastAsia="zh-CN"/>
        </w:rPr>
        <w:t>月09日为撰写报告阶段。</w:t>
      </w:r>
    </w:p>
    <w:p>
      <w:pPr>
        <w:keepNext w:val="0"/>
        <w:keepLines w:val="0"/>
        <w:pageBreakBefore w:val="0"/>
        <w:widowControl/>
        <w:kinsoku/>
        <w:wordWrap/>
        <w:overflowPunct/>
        <w:topLinePunct w:val="0"/>
        <w:autoSpaceDE/>
        <w:autoSpaceDN/>
        <w:bidi w:val="0"/>
        <w:adjustRightInd/>
        <w:snapToGrid/>
        <w:spacing w:after="0" w:line="480" w:lineRule="auto"/>
        <w:ind w:left="0" w:leftChars="0" w:right="0" w:rightChars="0" w:firstLine="560" w:firstLineChars="200"/>
        <w:jc w:val="both"/>
        <w:textAlignment w:val="auto"/>
        <w:outlineLvl w:val="9"/>
        <w:rPr>
          <w:rFonts w:ascii="仿宋" w:hAnsi="仿宋" w:eastAsia="仿宋" w:cs="仿宋"/>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年0</w:t>
      </w:r>
      <w:r>
        <w:rPr>
          <w:rFonts w:hint="eastAsia" w:ascii="仿宋" w:hAnsi="仿宋" w:eastAsia="仿宋" w:cs="仿宋"/>
          <w:bCs/>
          <w:szCs w:val="28"/>
          <w:lang w:eastAsia="zh-CN"/>
        </w:rPr>
        <w:t>3</w:t>
      </w:r>
      <w:r>
        <w:rPr>
          <w:rFonts w:hint="eastAsia" w:ascii="仿宋" w:hAnsi="仿宋" w:eastAsia="仿宋" w:cs="仿宋"/>
          <w:szCs w:val="28"/>
          <w:lang w:eastAsia="zh-CN"/>
        </w:rPr>
        <w:t>月10日至20</w:t>
      </w:r>
      <w:r>
        <w:rPr>
          <w:rFonts w:hint="eastAsia" w:ascii="仿宋" w:hAnsi="仿宋" w:eastAsia="仿宋" w:cs="仿宋"/>
          <w:bCs/>
          <w:szCs w:val="28"/>
          <w:lang w:eastAsia="zh-CN"/>
        </w:rPr>
        <w:t>18</w:t>
      </w:r>
      <w:r>
        <w:rPr>
          <w:rFonts w:hint="eastAsia" w:ascii="仿宋" w:hAnsi="仿宋" w:eastAsia="仿宋" w:cs="仿宋"/>
          <w:szCs w:val="28"/>
          <w:lang w:eastAsia="zh-CN"/>
        </w:rPr>
        <w:t>年05</w:t>
      </w:r>
      <w:r>
        <w:rPr>
          <w:rFonts w:hint="eastAsia" w:ascii="仿宋" w:hAnsi="仿宋" w:eastAsia="仿宋" w:cs="仿宋"/>
          <w:bCs/>
          <w:szCs w:val="28"/>
          <w:lang w:eastAsia="zh-CN"/>
        </w:rPr>
        <w:t>月09日</w:t>
      </w:r>
      <w:r>
        <w:rPr>
          <w:rFonts w:hint="eastAsia" w:ascii="仿宋" w:hAnsi="仿宋" w:eastAsia="仿宋" w:cs="仿宋"/>
          <w:szCs w:val="28"/>
          <w:lang w:eastAsia="zh-CN" w:bidi="ar"/>
        </w:rPr>
        <w:t>为整理底稿归档阶段。</w:t>
      </w:r>
    </w:p>
    <w:p>
      <w:pPr>
        <w:pStyle w:val="3"/>
        <w:spacing w:before="0" w:after="0" w:line="480" w:lineRule="auto"/>
        <w:jc w:val="both"/>
        <w:rPr>
          <w:lang w:eastAsia="zh-CN"/>
        </w:rPr>
      </w:pPr>
      <w:bookmarkStart w:id="93" w:name="_Toc19323"/>
      <w:bookmarkStart w:id="94" w:name="_Toc20447"/>
      <w:bookmarkStart w:id="95" w:name="_Toc23706"/>
      <w:r>
        <w:rPr>
          <w:rFonts w:hint="eastAsia"/>
          <w:lang w:eastAsia="zh-CN"/>
        </w:rPr>
        <w:t>（六）评价对象及方法</w:t>
      </w:r>
      <w:bookmarkEnd w:id="93"/>
      <w:bookmarkEnd w:id="94"/>
      <w:bookmarkEnd w:id="95"/>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1.评价对象</w:t>
      </w:r>
    </w:p>
    <w:p>
      <w:pPr>
        <w:spacing w:after="0" w:line="480" w:lineRule="auto"/>
        <w:ind w:firstLine="560" w:firstLineChars="200"/>
        <w:jc w:val="both"/>
        <w:rPr>
          <w:rFonts w:ascii="仿宋" w:hAnsi="仿宋" w:eastAsia="仿宋" w:cs="仿宋"/>
          <w:sz w:val="32"/>
          <w:szCs w:val="32"/>
          <w:lang w:eastAsia="zh-CN"/>
        </w:rPr>
      </w:pPr>
      <w:r>
        <w:rPr>
          <w:rFonts w:hint="eastAsia" w:ascii="仿宋" w:hAnsi="仿宋" w:eastAsia="仿宋" w:cs="仿宋"/>
          <w:szCs w:val="28"/>
          <w:lang w:eastAsia="zh-CN"/>
        </w:rPr>
        <w:t>本次绩效评价的对象是2017年度忻州市财政局拨付的忻州市政务服务中心业务用房建设专项资金8,300.00万元。</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2.评价方法</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本次在评价工作开展过程中，充分运用了因素分析法、比较法、公众评判法等方法，坚持定量优先、定量与定性相结合的方式，始终遵循科学规范、公正公开、分级分类、绩效相关的基本原则，确保评价的科学性与有效性。</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根据项目情况本次使用的评价方法为：</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（1）因素分析法：是指通过综合分析影响绩效目标实现、实施效果的内外因素，评价绩效目标实现程度。</w:t>
      </w:r>
    </w:p>
    <w:p>
      <w:pPr>
        <w:spacing w:after="0" w:line="480" w:lineRule="auto"/>
        <w:ind w:firstLine="560" w:firstLineChars="200"/>
        <w:jc w:val="both"/>
        <w:rPr>
          <w:lang w:eastAsia="zh-CN"/>
        </w:rPr>
      </w:pPr>
      <w:r>
        <w:rPr>
          <w:rFonts w:hint="eastAsia" w:ascii="仿宋" w:hAnsi="仿宋" w:eastAsia="仿宋"/>
          <w:szCs w:val="28"/>
          <w:lang w:eastAsia="zh-CN"/>
        </w:rPr>
        <w:t>本次绩效评价主要从项目立项规范性，绩效目标设定，资金拨付、及使用情况、项目决策、项目管理、结转结余资金管理、项目产出、项目效果等因素进行分析评价。</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（2）比较法：是指通过对绩效目标与实施效果，结合实施单位所提供的资料和现场核查情况，通过比较综合分析绩效目标实现程度。</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本次评价将通过向实施单位发放资料清单与开展现场工作相结合的形式，将客观的实施效果与该项目的绩效目标进行比较。</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（3）公众评判法：是指通过专家评估、公众问卷及抽样调查等对财政支出效果进行评判，评价绩效目标实现程度。</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本次财政专项资金项目绩效评价工作，主要通过专家对指标体系进行打分的方式进行。</w:t>
      </w:r>
    </w:p>
    <w:p>
      <w:pPr>
        <w:pStyle w:val="3"/>
        <w:spacing w:before="200" w:after="200" w:line="480" w:lineRule="auto"/>
        <w:jc w:val="both"/>
        <w:rPr>
          <w:lang w:eastAsia="zh-CN"/>
        </w:rPr>
      </w:pPr>
      <w:bookmarkStart w:id="96" w:name="_Toc10831"/>
      <w:bookmarkStart w:id="97" w:name="_Toc19751"/>
      <w:bookmarkStart w:id="98" w:name="_Toc28357"/>
      <w:r>
        <w:rPr>
          <w:rFonts w:hint="eastAsia"/>
          <w:lang w:eastAsia="zh-CN"/>
        </w:rPr>
        <w:t>（七）绩效评价工作过程</w:t>
      </w:r>
      <w:bookmarkEnd w:id="96"/>
      <w:bookmarkEnd w:id="97"/>
      <w:bookmarkEnd w:id="98"/>
    </w:p>
    <w:p>
      <w:pPr>
        <w:spacing w:after="0" w:line="480" w:lineRule="auto"/>
        <w:ind w:firstLine="560" w:firstLineChars="200"/>
        <w:jc w:val="both"/>
        <w:rPr>
          <w:rFonts w:ascii="仿宋" w:hAnsi="仿宋" w:eastAsia="仿宋"/>
          <w:szCs w:val="28"/>
          <w:lang w:eastAsia="zh-CN"/>
        </w:rPr>
      </w:pPr>
      <w:r>
        <w:rPr>
          <w:rFonts w:eastAsia="仿宋"/>
          <w:szCs w:val="28"/>
          <w:lang w:eastAsia="zh-CN"/>
        </w:rPr>
        <w:t>依据客观、公正、公开的原则，</w:t>
      </w:r>
      <w:r>
        <w:rPr>
          <w:rFonts w:hint="eastAsia" w:ascii="仿宋" w:hAnsi="仿宋" w:eastAsia="仿宋"/>
          <w:szCs w:val="28"/>
          <w:lang w:eastAsia="zh-CN"/>
        </w:rPr>
        <w:t>山西国元会计师事务所（有限公司）</w:t>
      </w:r>
      <w:r>
        <w:rPr>
          <w:rFonts w:eastAsia="仿宋"/>
          <w:szCs w:val="28"/>
          <w:lang w:eastAsia="zh-CN"/>
        </w:rPr>
        <w:t>组建了绩效评价工作组，按照前期了解与准备、中期现场审核与调查、后期分析与评价的程序进行绩效评价。</w:t>
      </w:r>
    </w:p>
    <w:p>
      <w:pPr>
        <w:pStyle w:val="21"/>
        <w:spacing w:line="480" w:lineRule="auto"/>
        <w:rPr>
          <w:rFonts w:ascii="仿宋" w:hAnsi="仿宋" w:eastAsia="仿宋" w:cs="仿宋"/>
        </w:rPr>
      </w:pPr>
      <w:r>
        <w:rPr>
          <w:rFonts w:hint="eastAsia" w:ascii="仿宋" w:hAnsi="仿宋" w:eastAsia="仿宋" w:cs="仿宋"/>
        </w:rPr>
        <w:t>1.前期了解与准备</w:t>
      </w:r>
    </w:p>
    <w:p>
      <w:pPr>
        <w:pStyle w:val="18"/>
        <w:spacing w:line="480" w:lineRule="auto"/>
        <w:ind w:firstLine="560"/>
        <w:rPr>
          <w:rFonts w:ascii="Times New Roman" w:hAnsi="Times New Roman" w:cs="Times New Roman"/>
          <w:sz w:val="28"/>
          <w:szCs w:val="28"/>
        </w:rPr>
      </w:pPr>
      <w:r>
        <w:rPr>
          <w:rFonts w:hint="eastAsia" w:ascii="Times New Roman" w:hAnsi="Times New Roman" w:cs="Times New Roman"/>
          <w:sz w:val="28"/>
          <w:szCs w:val="28"/>
        </w:rPr>
        <w:t>山西国元会计师事务所（有限公司）于</w:t>
      </w:r>
      <w:r>
        <w:rPr>
          <w:rFonts w:hint="eastAsia" w:ascii="仿宋" w:hAnsi="仿宋" w:cs="仿宋"/>
          <w:sz w:val="28"/>
          <w:szCs w:val="28"/>
        </w:rPr>
        <w:t>2018年01月04日</w:t>
      </w:r>
      <w:r>
        <w:rPr>
          <w:rFonts w:hint="eastAsia" w:ascii="Times New Roman" w:hAnsi="Times New Roman" w:cs="Times New Roman"/>
          <w:sz w:val="28"/>
          <w:szCs w:val="28"/>
        </w:rPr>
        <w:t>承接了政务中心建设项目财政支出的绩效评价工作。</w:t>
      </w:r>
    </w:p>
    <w:p>
      <w:pPr>
        <w:pStyle w:val="18"/>
        <w:spacing w:line="480" w:lineRule="auto"/>
        <w:ind w:firstLine="560"/>
        <w:rPr>
          <w:rFonts w:ascii="Times New Roman" w:hAnsi="Times New Roman" w:cs="Times New Roman"/>
          <w:sz w:val="28"/>
          <w:szCs w:val="28"/>
        </w:rPr>
      </w:pPr>
      <w:r>
        <w:rPr>
          <w:rFonts w:hint="eastAsia" w:ascii="Times New Roman" w:hAnsi="Times New Roman" w:cs="Times New Roman"/>
          <w:sz w:val="28"/>
          <w:szCs w:val="28"/>
        </w:rPr>
        <w:t>为确保此次绩效评价工作顺利开，山西国元会计师事务所（有限公司）于</w:t>
      </w:r>
      <w:r>
        <w:rPr>
          <w:rFonts w:hint="eastAsia" w:ascii="仿宋" w:hAnsi="仿宋" w:cs="仿宋"/>
          <w:sz w:val="28"/>
          <w:szCs w:val="28"/>
        </w:rPr>
        <w:t>2018年01月05日</w:t>
      </w:r>
      <w:r>
        <w:rPr>
          <w:rFonts w:hint="eastAsia" w:ascii="Times New Roman" w:hAnsi="Times New Roman" w:cs="Times New Roman"/>
          <w:sz w:val="28"/>
          <w:szCs w:val="28"/>
        </w:rPr>
        <w:t>成立了绩效评价项目组。绩效评价项目组分领导组和工作组：领导组主要负责评价方案的制定、实施过程的组织协调和督导、报告的审核等具体你人员情况详见下</w:t>
      </w:r>
      <w:r>
        <w:rPr>
          <w:rFonts w:hint="eastAsia" w:ascii="仿宋" w:hAnsi="仿宋" w:cs="仿宋"/>
          <w:sz w:val="28"/>
          <w:szCs w:val="28"/>
        </w:rPr>
        <w:t>表2-1：</w:t>
      </w:r>
    </w:p>
    <w:p>
      <w:pPr>
        <w:autoSpaceDE w:val="0"/>
        <w:autoSpaceDN w:val="0"/>
        <w:adjustRightInd w:val="0"/>
        <w:spacing w:before="312" w:beforeLines="100" w:after="0" w:line="360" w:lineRule="auto"/>
        <w:jc w:val="center"/>
        <w:rPr>
          <w:rFonts w:eastAsia="仿宋"/>
          <w:sz w:val="24"/>
          <w:szCs w:val="24"/>
        </w:rPr>
      </w:pPr>
      <w:r>
        <w:rPr>
          <w:rFonts w:eastAsia="仿宋"/>
          <w:sz w:val="24"/>
          <w:szCs w:val="24"/>
        </w:rPr>
        <w:t>表</w:t>
      </w:r>
      <w:r>
        <w:rPr>
          <w:rFonts w:hint="eastAsia" w:eastAsia="仿宋"/>
          <w:sz w:val="24"/>
          <w:szCs w:val="24"/>
          <w:lang w:eastAsia="zh-CN"/>
        </w:rPr>
        <w:t>2</w:t>
      </w:r>
      <w:r>
        <w:rPr>
          <w:rFonts w:eastAsia="仿宋"/>
          <w:sz w:val="24"/>
          <w:szCs w:val="24"/>
        </w:rPr>
        <w:t>-1 领导组人员分工表</w:t>
      </w:r>
    </w:p>
    <w:tbl>
      <w:tblPr>
        <w:tblStyle w:val="16"/>
        <w:tblW w:w="8522" w:type="dxa"/>
        <w:tblInd w:w="0" w:type="dxa"/>
        <w:tblLayout w:type="fixed"/>
        <w:tblCellMar>
          <w:top w:w="0" w:type="dxa"/>
          <w:left w:w="108" w:type="dxa"/>
          <w:bottom w:w="0" w:type="dxa"/>
          <w:right w:w="108" w:type="dxa"/>
        </w:tblCellMar>
      </w:tblPr>
      <w:tblGrid>
        <w:gridCol w:w="1063"/>
        <w:gridCol w:w="1110"/>
        <w:gridCol w:w="1665"/>
        <w:gridCol w:w="4684"/>
      </w:tblGrid>
      <w:tr>
        <w:tblPrEx>
          <w:tblLayout w:type="fixed"/>
          <w:tblCellMar>
            <w:top w:w="0" w:type="dxa"/>
            <w:left w:w="108" w:type="dxa"/>
            <w:bottom w:w="0" w:type="dxa"/>
            <w:right w:w="108" w:type="dxa"/>
          </w:tblCellMar>
        </w:tblPrEx>
        <w:trPr>
          <w:trHeight w:val="624" w:hRule="atLeast"/>
        </w:trPr>
        <w:tc>
          <w:tcPr>
            <w:tcW w:w="1063"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p>
        </w:tc>
        <w:tc>
          <w:tcPr>
            <w:tcW w:w="1110"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姓名</w:t>
            </w:r>
          </w:p>
        </w:tc>
        <w:tc>
          <w:tcPr>
            <w:tcW w:w="1665"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职务</w:t>
            </w:r>
          </w:p>
        </w:tc>
        <w:tc>
          <w:tcPr>
            <w:tcW w:w="4684"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职责分工</w:t>
            </w:r>
          </w:p>
        </w:tc>
      </w:tr>
      <w:tr>
        <w:tblPrEx>
          <w:tblLayout w:type="fixed"/>
          <w:tblCellMar>
            <w:top w:w="0" w:type="dxa"/>
            <w:left w:w="108" w:type="dxa"/>
            <w:bottom w:w="0" w:type="dxa"/>
            <w:right w:w="108" w:type="dxa"/>
          </w:tblCellMar>
        </w:tblPrEx>
        <w:trPr>
          <w:trHeight w:val="624" w:hRule="atLeast"/>
        </w:trPr>
        <w:tc>
          <w:tcPr>
            <w:tcW w:w="1063" w:type="dxa"/>
            <w:tcBorders>
              <w:top w:val="nil"/>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组</w:t>
            </w:r>
            <w:r>
              <w:rPr>
                <w:rFonts w:hint="eastAsia" w:ascii="仿宋" w:hAnsi="仿宋" w:eastAsia="仿宋" w:cs="仿宋"/>
                <w:sz w:val="24"/>
                <w:szCs w:val="24"/>
                <w:lang w:eastAsia="zh-CN"/>
              </w:rPr>
              <w:t xml:space="preserve">  </w:t>
            </w:r>
            <w:r>
              <w:rPr>
                <w:rFonts w:hint="eastAsia" w:ascii="仿宋" w:hAnsi="仿宋" w:eastAsia="仿宋" w:cs="仿宋"/>
                <w:sz w:val="24"/>
                <w:szCs w:val="24"/>
              </w:rPr>
              <w:t>长</w:t>
            </w:r>
          </w:p>
        </w:tc>
        <w:tc>
          <w:tcPr>
            <w:tcW w:w="1110"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lang w:eastAsia="zh-CN"/>
              </w:rPr>
              <w:t>王  倩</w:t>
            </w:r>
          </w:p>
        </w:tc>
        <w:tc>
          <w:tcPr>
            <w:tcW w:w="1665"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项目负责人</w:t>
            </w:r>
          </w:p>
        </w:tc>
        <w:tc>
          <w:tcPr>
            <w:tcW w:w="4684"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负责统筹协调</w:t>
            </w:r>
          </w:p>
        </w:tc>
      </w:tr>
      <w:tr>
        <w:tblPrEx>
          <w:tblLayout w:type="fixed"/>
          <w:tblCellMar>
            <w:top w:w="0" w:type="dxa"/>
            <w:left w:w="108" w:type="dxa"/>
            <w:bottom w:w="0" w:type="dxa"/>
            <w:right w:w="108" w:type="dxa"/>
          </w:tblCellMar>
        </w:tblPrEx>
        <w:trPr>
          <w:trHeight w:val="624" w:hRule="atLeast"/>
        </w:trPr>
        <w:tc>
          <w:tcPr>
            <w:tcW w:w="1063" w:type="dxa"/>
            <w:tcBorders>
              <w:top w:val="nil"/>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副组长</w:t>
            </w:r>
          </w:p>
        </w:tc>
        <w:tc>
          <w:tcPr>
            <w:tcW w:w="1110"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康  钰</w:t>
            </w:r>
          </w:p>
        </w:tc>
        <w:tc>
          <w:tcPr>
            <w:tcW w:w="1665"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项目经理</w:t>
            </w:r>
          </w:p>
        </w:tc>
        <w:tc>
          <w:tcPr>
            <w:tcW w:w="4684"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负责评价方案的制定</w:t>
            </w:r>
          </w:p>
        </w:tc>
      </w:tr>
      <w:tr>
        <w:tblPrEx>
          <w:tblLayout w:type="fixed"/>
          <w:tblCellMar>
            <w:top w:w="0" w:type="dxa"/>
            <w:left w:w="108" w:type="dxa"/>
            <w:bottom w:w="0" w:type="dxa"/>
            <w:right w:w="108" w:type="dxa"/>
          </w:tblCellMar>
        </w:tblPrEx>
        <w:trPr>
          <w:trHeight w:val="624" w:hRule="atLeast"/>
        </w:trPr>
        <w:tc>
          <w:tcPr>
            <w:tcW w:w="1063" w:type="dxa"/>
            <w:tcBorders>
              <w:top w:val="nil"/>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副组长</w:t>
            </w:r>
          </w:p>
        </w:tc>
        <w:tc>
          <w:tcPr>
            <w:tcW w:w="1110"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李飞飞</w:t>
            </w:r>
          </w:p>
        </w:tc>
        <w:tc>
          <w:tcPr>
            <w:tcW w:w="1665"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项目经理</w:t>
            </w:r>
          </w:p>
        </w:tc>
        <w:tc>
          <w:tcPr>
            <w:tcW w:w="4684" w:type="dxa"/>
            <w:tcBorders>
              <w:top w:val="nil"/>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实施过程的组织协调和督导</w:t>
            </w:r>
          </w:p>
        </w:tc>
      </w:tr>
      <w:tr>
        <w:tblPrEx>
          <w:tblLayout w:type="fixed"/>
          <w:tblCellMar>
            <w:top w:w="0" w:type="dxa"/>
            <w:left w:w="108" w:type="dxa"/>
            <w:bottom w:w="0" w:type="dxa"/>
            <w:right w:w="108" w:type="dxa"/>
          </w:tblCellMar>
        </w:tblPrEx>
        <w:trPr>
          <w:trHeight w:val="624" w:hRule="atLeast"/>
        </w:trPr>
        <w:tc>
          <w:tcPr>
            <w:tcW w:w="1063"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副组长</w:t>
            </w:r>
          </w:p>
        </w:tc>
        <w:tc>
          <w:tcPr>
            <w:tcW w:w="1110"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王  宽</w:t>
            </w:r>
          </w:p>
        </w:tc>
        <w:tc>
          <w:tcPr>
            <w:tcW w:w="1665"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项目经理</w:t>
            </w:r>
          </w:p>
        </w:tc>
        <w:tc>
          <w:tcPr>
            <w:tcW w:w="4684"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报告的撰写</w:t>
            </w:r>
            <w:r>
              <w:rPr>
                <w:rFonts w:hint="eastAsia" w:ascii="仿宋" w:hAnsi="仿宋" w:eastAsia="仿宋" w:cs="仿宋"/>
                <w:sz w:val="24"/>
                <w:szCs w:val="24"/>
                <w:lang w:eastAsia="zh-CN"/>
              </w:rPr>
              <w:t>与</w:t>
            </w:r>
            <w:r>
              <w:rPr>
                <w:rFonts w:hint="eastAsia" w:ascii="仿宋" w:hAnsi="仿宋" w:eastAsia="仿宋" w:cs="仿宋"/>
                <w:sz w:val="24"/>
                <w:szCs w:val="24"/>
              </w:rPr>
              <w:t>审核</w:t>
            </w:r>
          </w:p>
        </w:tc>
      </w:tr>
      <w:tr>
        <w:tblPrEx>
          <w:tblLayout w:type="fixed"/>
          <w:tblCellMar>
            <w:top w:w="0" w:type="dxa"/>
            <w:left w:w="108" w:type="dxa"/>
            <w:bottom w:w="0" w:type="dxa"/>
            <w:right w:w="108" w:type="dxa"/>
          </w:tblCellMar>
        </w:tblPrEx>
        <w:trPr>
          <w:trHeight w:val="624" w:hRule="atLeast"/>
        </w:trPr>
        <w:tc>
          <w:tcPr>
            <w:tcW w:w="1063" w:type="dxa"/>
            <w:tcBorders>
              <w:top w:val="single" w:color="auto" w:sz="4" w:space="0"/>
              <w:left w:val="single" w:color="auto" w:sz="4" w:space="0"/>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副组长</w:t>
            </w:r>
          </w:p>
        </w:tc>
        <w:tc>
          <w:tcPr>
            <w:tcW w:w="1110"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lang w:eastAsia="zh-CN"/>
              </w:rPr>
            </w:pPr>
            <w:r>
              <w:rPr>
                <w:rFonts w:hint="eastAsia" w:ascii="仿宋" w:hAnsi="仿宋" w:eastAsia="仿宋" w:cs="仿宋"/>
                <w:sz w:val="24"/>
                <w:szCs w:val="24"/>
                <w:lang w:eastAsia="zh-CN"/>
              </w:rPr>
              <w:t>王  娇</w:t>
            </w:r>
          </w:p>
        </w:tc>
        <w:tc>
          <w:tcPr>
            <w:tcW w:w="1665"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项目经理</w:t>
            </w:r>
          </w:p>
        </w:tc>
        <w:tc>
          <w:tcPr>
            <w:tcW w:w="4684" w:type="dxa"/>
            <w:tcBorders>
              <w:top w:val="single" w:color="auto" w:sz="4" w:space="0"/>
              <w:left w:val="nil"/>
              <w:bottom w:val="single" w:color="auto" w:sz="4" w:space="0"/>
              <w:right w:val="single" w:color="auto" w:sz="4" w:space="0"/>
            </w:tcBorders>
            <w:vAlign w:val="center"/>
          </w:tcPr>
          <w:p>
            <w:pPr>
              <w:spacing w:after="0"/>
              <w:jc w:val="center"/>
              <w:rPr>
                <w:rFonts w:ascii="仿宋" w:hAnsi="仿宋" w:eastAsia="仿宋" w:cs="仿宋"/>
                <w:sz w:val="24"/>
                <w:szCs w:val="24"/>
              </w:rPr>
            </w:pPr>
            <w:r>
              <w:rPr>
                <w:rFonts w:hint="eastAsia" w:ascii="仿宋" w:hAnsi="仿宋" w:eastAsia="仿宋" w:cs="仿宋"/>
                <w:sz w:val="24"/>
                <w:szCs w:val="24"/>
              </w:rPr>
              <w:t>组织评价人员的培训</w:t>
            </w:r>
          </w:p>
        </w:tc>
      </w:tr>
    </w:tbl>
    <w:p>
      <w:pPr>
        <w:pStyle w:val="18"/>
        <w:spacing w:line="480" w:lineRule="auto"/>
        <w:ind w:firstLine="560"/>
        <w:rPr>
          <w:rFonts w:ascii="仿宋" w:hAnsi="仿宋" w:cs="仿宋"/>
          <w:sz w:val="28"/>
          <w:szCs w:val="28"/>
        </w:rPr>
      </w:pPr>
      <w:r>
        <w:rPr>
          <w:rFonts w:hint="eastAsia" w:ascii="仿宋" w:hAnsi="仿宋" w:cs="仿宋"/>
          <w:sz w:val="28"/>
          <w:szCs w:val="28"/>
        </w:rPr>
        <w:t>工作组主要负责现场核查、相关资料的收集、整理及报告的撰写等工作。</w:t>
      </w:r>
    </w:p>
    <w:p>
      <w:pPr>
        <w:pStyle w:val="18"/>
        <w:spacing w:line="480" w:lineRule="auto"/>
        <w:ind w:firstLine="560"/>
        <w:rPr>
          <w:rFonts w:ascii="仿宋" w:hAnsi="仿宋" w:cs="仿宋"/>
          <w:sz w:val="28"/>
          <w:szCs w:val="28"/>
        </w:rPr>
      </w:pPr>
      <w:r>
        <w:rPr>
          <w:rFonts w:hint="eastAsia" w:ascii="仿宋" w:hAnsi="仿宋" w:cs="仿宋"/>
          <w:sz w:val="28"/>
          <w:szCs w:val="28"/>
        </w:rPr>
        <w:t>项目组于2018年01月06日组织全体组员对绩效评价相关业务知识进行了为期一天的内部培训。并于2018年01月10日至2018年01月15日到忻州市实地了解情况，开展初期现场资料的收集工作。</w:t>
      </w:r>
      <w:r>
        <w:rPr>
          <w:rFonts w:hint="eastAsia" w:ascii="仿宋" w:hAnsi="仿宋" w:cs="仿宋"/>
          <w:kern w:val="0"/>
          <w:sz w:val="28"/>
          <w:szCs w:val="28"/>
        </w:rPr>
        <w:t>评价组在收集、审核资料的基础上，通过与项目主管部门的沟通，根据项目具体情况制定绩效评价实施方案，并拟定评价指标体系，细化评分标准，并报忻州市财政局预算投资评审中心审核。根据专家评审结论修改完善评价实施方案。</w:t>
      </w:r>
      <w:r>
        <w:rPr>
          <w:rFonts w:hint="eastAsia" w:ascii="仿宋" w:hAnsi="仿宋" w:cs="仿宋"/>
          <w:sz w:val="28"/>
          <w:szCs w:val="28"/>
        </w:rPr>
        <w:t>根据评审专家的意见，于2018年01月19日最终形成了《忻州市政务服务中心业务用房建设项目绩效评价工作方案》，并开展了相关的工作。</w:t>
      </w:r>
    </w:p>
    <w:p>
      <w:pPr>
        <w:spacing w:after="0" w:line="480" w:lineRule="auto"/>
        <w:ind w:firstLine="560" w:firstLineChars="200"/>
        <w:jc w:val="both"/>
        <w:rPr>
          <w:rFonts w:ascii="仿宋" w:hAnsi="仿宋" w:eastAsia="仿宋" w:cs="仿宋"/>
          <w:bCs/>
          <w:szCs w:val="28"/>
          <w:lang w:eastAsia="zh-CN"/>
        </w:rPr>
      </w:pPr>
      <w:r>
        <w:rPr>
          <w:rFonts w:hint="eastAsia" w:ascii="仿宋" w:hAnsi="仿宋" w:eastAsia="仿宋" w:cs="仿宋"/>
          <w:bCs/>
          <w:szCs w:val="28"/>
          <w:lang w:eastAsia="zh-CN"/>
        </w:rPr>
        <w:t>2.中期现场审核与调查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评价组根据方案开展中期现场审核与调查工作，于2018年01月22日再次进驻忻州市，根据方案开展现场审核与调查工作，并分别于2018年01月25日下午撤离现场。</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（1）财务数据合规性检查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评价组实地对政务中心建设项目资金使用的合规性进行检查，评价组对获取政务中心建设项目的相关政策性文件以及有关上级拨付资金的收支财务凭证进行了合规性检查。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（2）项目开展情况核查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评价组对项目实施单位的工作开展情况进行了核查，重点关注政务中心建设项目在施工过程中有关资金拨付、使用、资金监管以及项目开工、完工等方面的情况。</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（3）社会调查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评价组根据方案设计确定了工作人员及人民群众满意度调查问卷（详见附件1），由于项目还未进行竣工验收，未正式投入使用，故暂时不作调查。</w:t>
      </w:r>
    </w:p>
    <w:p>
      <w:pPr>
        <w:numPr>
          <w:ilvl w:val="0"/>
          <w:numId w:val="1"/>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综合评价</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评价组根据评价工作方案中确定的评价指标、评价权重、评价标准和评价方法，对评价对象的绩效情况进行全面的定量定性分析和综合评价，形成评价结论。</w:t>
      </w:r>
    </w:p>
    <w:p>
      <w:pPr>
        <w:spacing w:after="0" w:line="480" w:lineRule="auto"/>
        <w:ind w:firstLine="560" w:firstLineChars="200"/>
        <w:jc w:val="both"/>
        <w:rPr>
          <w:rFonts w:ascii="仿宋" w:hAnsi="仿宋" w:eastAsia="仿宋" w:cs="仿宋"/>
          <w:bCs/>
          <w:szCs w:val="28"/>
          <w:lang w:eastAsia="zh-CN"/>
        </w:rPr>
      </w:pPr>
      <w:r>
        <w:rPr>
          <w:rFonts w:hint="eastAsia" w:ascii="仿宋" w:hAnsi="仿宋" w:eastAsia="仿宋" w:cs="仿宋"/>
          <w:bCs/>
          <w:szCs w:val="28"/>
          <w:lang w:eastAsia="zh-CN"/>
        </w:rPr>
        <w:t>3.后期分析与评价</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于2018年02月06日至02月26日对在前期、中期现场审核与调查阶段获取的资料和信息进行归类、整理和分析，结合指标体系对政务中心建设项目资金的绩效进行评分，并撰写了项目绩效评价报告初稿；报告初稿于2018年02月2</w:t>
      </w:r>
      <w:r>
        <w:rPr>
          <w:rFonts w:hint="eastAsia" w:ascii="仿宋" w:hAnsi="仿宋" w:eastAsia="仿宋" w:cs="仿宋"/>
          <w:szCs w:val="28"/>
          <w:lang w:val="en-US" w:eastAsia="zh-CN"/>
        </w:rPr>
        <w:t>7</w:t>
      </w:r>
      <w:r>
        <w:rPr>
          <w:rFonts w:hint="eastAsia" w:ascii="仿宋" w:hAnsi="仿宋" w:eastAsia="仿宋" w:cs="仿宋"/>
          <w:szCs w:val="28"/>
          <w:lang w:eastAsia="zh-CN"/>
        </w:rPr>
        <w:t>日经事务所内部质量控制部专家评审，根据专家提出的修改意见进行修改，于2</w:t>
      </w:r>
      <w:bookmarkStart w:id="163" w:name="_GoBack"/>
      <w:bookmarkEnd w:id="163"/>
      <w:r>
        <w:rPr>
          <w:rFonts w:hint="eastAsia" w:ascii="仿宋" w:hAnsi="仿宋" w:eastAsia="仿宋" w:cs="仿宋"/>
          <w:szCs w:val="28"/>
          <w:lang w:eastAsia="zh-CN"/>
        </w:rPr>
        <w:t>018年0</w:t>
      </w:r>
      <w:r>
        <w:rPr>
          <w:rFonts w:hint="eastAsia" w:ascii="仿宋" w:hAnsi="仿宋" w:eastAsia="仿宋" w:cs="仿宋"/>
          <w:szCs w:val="28"/>
          <w:lang w:val="en-US" w:eastAsia="zh-CN"/>
        </w:rPr>
        <w:t>3</w:t>
      </w:r>
      <w:r>
        <w:rPr>
          <w:rFonts w:hint="eastAsia" w:ascii="仿宋" w:hAnsi="仿宋" w:eastAsia="仿宋" w:cs="仿宋"/>
          <w:szCs w:val="28"/>
          <w:lang w:eastAsia="zh-CN"/>
        </w:rPr>
        <w:t>月</w:t>
      </w:r>
      <w:r>
        <w:rPr>
          <w:rFonts w:hint="eastAsia" w:ascii="仿宋" w:hAnsi="仿宋" w:eastAsia="仿宋" w:cs="仿宋"/>
          <w:szCs w:val="28"/>
          <w:lang w:val="en-US" w:eastAsia="zh-CN"/>
        </w:rPr>
        <w:t>09</w:t>
      </w:r>
      <w:r>
        <w:rPr>
          <w:rFonts w:hint="eastAsia" w:ascii="仿宋" w:hAnsi="仿宋" w:eastAsia="仿宋" w:cs="仿宋"/>
          <w:szCs w:val="28"/>
          <w:lang w:eastAsia="zh-CN"/>
        </w:rPr>
        <w:t>日提交正式评价报告。并将于</w:t>
      </w:r>
      <w:r>
        <w:rPr>
          <w:rFonts w:hint="eastAsia" w:ascii="仿宋" w:hAnsi="仿宋" w:eastAsia="仿宋" w:cs="仿宋"/>
          <w:szCs w:val="28"/>
          <w:lang w:eastAsia="zh-CN" w:bidi="ar"/>
        </w:rPr>
        <w:t>出具正式报告后60日内完</w:t>
      </w:r>
      <w:r>
        <w:rPr>
          <w:rFonts w:hint="eastAsia" w:ascii="仿宋" w:hAnsi="仿宋" w:eastAsia="仿宋" w:cs="仿宋"/>
          <w:szCs w:val="28"/>
          <w:lang w:eastAsia="zh-CN"/>
        </w:rPr>
        <w:t>成对此次绩效评价工作底稿的归档工作。</w:t>
      </w:r>
    </w:p>
    <w:p>
      <w:pPr>
        <w:pStyle w:val="3"/>
        <w:spacing w:before="200" w:after="200" w:line="480" w:lineRule="auto"/>
        <w:jc w:val="both"/>
        <w:rPr>
          <w:lang w:eastAsia="zh-CN"/>
        </w:rPr>
      </w:pPr>
      <w:bookmarkStart w:id="99" w:name="_Toc8002"/>
      <w:bookmarkStart w:id="100" w:name="_Toc15235"/>
      <w:bookmarkStart w:id="101" w:name="_Toc20149"/>
      <w:r>
        <w:rPr>
          <w:rFonts w:hint="eastAsia"/>
          <w:lang w:eastAsia="zh-CN"/>
        </w:rPr>
        <w:t>（八）绩效评价依据</w:t>
      </w:r>
      <w:bookmarkEnd w:id="99"/>
      <w:bookmarkEnd w:id="100"/>
      <w:bookmarkEnd w:id="101"/>
    </w:p>
    <w:p>
      <w:pPr>
        <w:pStyle w:val="21"/>
        <w:spacing w:line="480" w:lineRule="auto"/>
        <w:rPr>
          <w:rFonts w:ascii="仿宋" w:hAnsi="仿宋" w:eastAsia="仿宋" w:cs="仿宋"/>
          <w:kern w:val="2"/>
        </w:rPr>
      </w:pPr>
      <w:r>
        <w:rPr>
          <w:rFonts w:hint="eastAsia" w:ascii="仿宋" w:hAnsi="仿宋" w:eastAsia="仿宋" w:cs="仿宋"/>
          <w:kern w:val="2"/>
        </w:rPr>
        <w:t>评价依据是评价所依据的法律、法规规章、政策文件，包括但不限于：</w:t>
      </w:r>
    </w:p>
    <w:p>
      <w:pPr>
        <w:numPr>
          <w:ilvl w:val="0"/>
          <w:numId w:val="2"/>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36"/>
          <w:lang w:eastAsia="zh-CN"/>
        </w:rPr>
        <w:t>《国务院办公厅印发&lt;关于全面推进政务公开工作的意见&gt;实施细则的通知》（国办发〔2016〕80号）；</w:t>
      </w:r>
    </w:p>
    <w:p>
      <w:pPr>
        <w:numPr>
          <w:ilvl w:val="0"/>
          <w:numId w:val="2"/>
        </w:num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36"/>
          <w:lang w:eastAsia="zh-CN"/>
        </w:rPr>
        <w:t>《山西省全面加强自身建设三年规划（2015-2017）》；</w:t>
      </w:r>
    </w:p>
    <w:p>
      <w:pPr>
        <w:numPr>
          <w:ilvl w:val="0"/>
          <w:numId w:val="2"/>
        </w:num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28"/>
          <w:lang w:eastAsia="zh-CN"/>
        </w:rPr>
        <w:t>《关于深化预算管理制度改革的实施意见》（晋政发〔2015〕19号）；</w:t>
      </w:r>
    </w:p>
    <w:p>
      <w:pPr>
        <w:numPr>
          <w:ilvl w:val="0"/>
          <w:numId w:val="2"/>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36"/>
          <w:lang w:eastAsia="zh-CN"/>
        </w:rPr>
        <w:t>《山西省人民政府办公厅关于印发山西省政务服务管理办法的通知》（晋政办发〔2017〕4号）；</w:t>
      </w:r>
    </w:p>
    <w:p>
      <w:pPr>
        <w:numPr>
          <w:ilvl w:val="0"/>
          <w:numId w:val="2"/>
        </w:num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36"/>
          <w:lang w:eastAsia="zh-CN"/>
        </w:rPr>
        <w:t>《忻州市全面加强政府自身建设2015年行动计划》（忻政办发〔2015〕102号）；</w:t>
      </w:r>
    </w:p>
    <w:p>
      <w:pPr>
        <w:numPr>
          <w:ilvl w:val="0"/>
          <w:numId w:val="2"/>
        </w:num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36"/>
          <w:lang w:eastAsia="zh-CN"/>
        </w:rPr>
        <w:t>《关于印发忻州市全力加强政府自身建设2015年行动计划的通知》（忻政办发〔2015〕102号）；</w:t>
      </w:r>
    </w:p>
    <w:p>
      <w:pPr>
        <w:numPr>
          <w:ilvl w:val="0"/>
          <w:numId w:val="2"/>
        </w:numPr>
        <w:spacing w:after="0" w:line="480" w:lineRule="auto"/>
        <w:ind w:firstLine="560" w:firstLineChars="200"/>
        <w:jc w:val="both"/>
        <w:rPr>
          <w:rFonts w:ascii="仿宋" w:hAnsi="仿宋" w:eastAsia="仿宋" w:cs="仿宋"/>
          <w:szCs w:val="36"/>
          <w:lang w:eastAsia="zh-CN"/>
        </w:rPr>
      </w:pPr>
      <w:r>
        <w:rPr>
          <w:rFonts w:hint="eastAsia" w:ascii="仿宋" w:hAnsi="仿宋" w:eastAsia="仿宋" w:cs="仿宋"/>
          <w:szCs w:val="36"/>
          <w:lang w:eastAsia="zh-CN"/>
        </w:rPr>
        <w:t>《市政府常务会议》（纪要〔2016〕5次）；</w:t>
      </w:r>
    </w:p>
    <w:p>
      <w:pPr>
        <w:numPr>
          <w:ilvl w:val="0"/>
          <w:numId w:val="2"/>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36"/>
          <w:lang w:eastAsia="zh-CN"/>
        </w:rPr>
        <w:t>《忻州市人民政府办公厅关于印发忻州市全面加强政府自身建设2016年行动计划的通知》（忻政办发〔2016〕31号）；</w:t>
      </w:r>
    </w:p>
    <w:p>
      <w:pPr>
        <w:numPr>
          <w:ilvl w:val="0"/>
          <w:numId w:val="2"/>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szCs w:val="28"/>
          <w:lang w:eastAsia="zh-CN"/>
        </w:rPr>
        <w:t>《财政支出绩效评价管理暂行办法》（财预〔2011〕285号）；</w:t>
      </w:r>
    </w:p>
    <w:p>
      <w:pPr>
        <w:numPr>
          <w:ilvl w:val="0"/>
          <w:numId w:val="2"/>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《山西省财政厅关于印发&lt;山西省预算绩效评价管理办法&gt;的通知》（晋财资〔2014〕36号）；</w:t>
      </w:r>
    </w:p>
    <w:p>
      <w:pPr>
        <w:numPr>
          <w:ilvl w:val="0"/>
          <w:numId w:val="2"/>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中国注册会计师协会关于印发《会计师事务所财政支出绩效评价业务指引》的通知（会协〔2016〕10号）；</w:t>
      </w:r>
    </w:p>
    <w:p>
      <w:pPr>
        <w:spacing w:after="0" w:line="480" w:lineRule="auto"/>
        <w:ind w:firstLine="560" w:firstLineChars="200"/>
        <w:jc w:val="both"/>
        <w:rPr>
          <w:rFonts w:ascii="仿宋" w:hAnsi="仿宋" w:eastAsia="仿宋"/>
          <w:szCs w:val="28"/>
          <w:lang w:eastAsia="zh-CN"/>
        </w:rPr>
      </w:pPr>
      <w:r>
        <w:rPr>
          <w:rFonts w:hint="eastAsia" w:ascii="仿宋" w:hAnsi="仿宋" w:eastAsia="仿宋" w:cs="仿宋"/>
          <w:szCs w:val="28"/>
          <w:lang w:eastAsia="zh-CN"/>
        </w:rPr>
        <w:t>12.其他有关的法律、法规规章、政策文件。</w:t>
      </w:r>
    </w:p>
    <w:p>
      <w:pPr>
        <w:pStyle w:val="2"/>
        <w:spacing w:before="300" w:beforeLines="0" w:after="300" w:afterLines="0" w:line="480" w:lineRule="auto"/>
        <w:jc w:val="both"/>
        <w:rPr>
          <w:sz w:val="32"/>
          <w:lang w:eastAsia="zh-CN"/>
        </w:rPr>
      </w:pPr>
      <w:bookmarkStart w:id="102" w:name="_Toc15004"/>
      <w:bookmarkStart w:id="103" w:name="_Toc26665"/>
      <w:bookmarkStart w:id="104" w:name="_Toc11216"/>
      <w:r>
        <w:rPr>
          <w:rFonts w:hint="eastAsia"/>
          <w:sz w:val="32"/>
          <w:lang w:eastAsia="zh-CN"/>
        </w:rPr>
        <w:t>三、项目资金管理及使用情况</w:t>
      </w:r>
      <w:bookmarkEnd w:id="102"/>
      <w:bookmarkEnd w:id="103"/>
      <w:bookmarkEnd w:id="104"/>
    </w:p>
    <w:p>
      <w:pPr>
        <w:pStyle w:val="3"/>
        <w:spacing w:before="200" w:after="200" w:line="480" w:lineRule="auto"/>
        <w:jc w:val="both"/>
        <w:rPr>
          <w:lang w:eastAsia="zh-CN"/>
        </w:rPr>
      </w:pPr>
      <w:bookmarkStart w:id="105" w:name="_Toc9891"/>
      <w:bookmarkStart w:id="106" w:name="_Toc16909"/>
      <w:bookmarkStart w:id="107" w:name="_Toc7904"/>
      <w:r>
        <w:rPr>
          <w:rFonts w:hint="eastAsia"/>
          <w:lang w:eastAsia="zh-CN"/>
        </w:rPr>
        <w:t>（一）资金管理方面</w:t>
      </w:r>
      <w:bookmarkEnd w:id="105"/>
      <w:bookmarkEnd w:id="106"/>
      <w:bookmarkEnd w:id="107"/>
    </w:p>
    <w:p>
      <w:pPr>
        <w:widowControl w:val="0"/>
        <w:spacing w:line="480" w:lineRule="auto"/>
        <w:ind w:firstLine="560" w:firstLineChars="200"/>
        <w:jc w:val="both"/>
        <w:rPr>
          <w:rFonts w:ascii="仿宋" w:hAnsi="仿宋" w:eastAsia="仿宋" w:cs="仿宋"/>
          <w:szCs w:val="28"/>
          <w:highlight w:val="yellow"/>
          <w:lang w:eastAsia="zh-CN"/>
        </w:rPr>
      </w:pPr>
      <w:r>
        <w:rPr>
          <w:rFonts w:hint="eastAsia" w:ascii="仿宋" w:hAnsi="仿宋" w:eastAsia="仿宋"/>
          <w:szCs w:val="28"/>
          <w:lang w:eastAsia="zh-CN"/>
        </w:rPr>
        <w:t>忻州市政务中心建设项目</w:t>
      </w:r>
      <w:r>
        <w:rPr>
          <w:rFonts w:hint="eastAsia" w:ascii="仿宋" w:hAnsi="仿宋" w:eastAsia="仿宋" w:cs="仿宋"/>
          <w:szCs w:val="28"/>
          <w:lang w:eastAsia="zh-CN"/>
        </w:rPr>
        <w:t>由忻州市财政局拨付2017年度专项资金8,300.00万元，截止2017年06月29日已到位8,300.00万元。资金到位后，忻州市城乡建设开发有限公司联合</w:t>
      </w:r>
      <w:r>
        <w:rPr>
          <w:rFonts w:hint="eastAsia" w:ascii="仿宋_GB2312" w:eastAsia="仿宋_GB2312"/>
          <w:szCs w:val="28"/>
          <w:lang w:eastAsia="zh-CN"/>
        </w:rPr>
        <w:t>忻州政务服务中心业务用房建设项目部</w:t>
      </w:r>
      <w:r>
        <w:rPr>
          <w:rFonts w:hint="eastAsia" w:ascii="仿宋" w:hAnsi="仿宋" w:eastAsia="仿宋" w:cs="仿宋"/>
          <w:szCs w:val="28"/>
          <w:lang w:eastAsia="zh-CN"/>
        </w:rPr>
        <w:t>实现资金无套取，无截留、挤占、挪用，不存在超标准开支，支出依据合法合规。但在资金管理方面，忻州市城乡建设开发有限公司未制定相关财务管理制度，也未提供其所依据的相关财务或资金管理制度，使得资金的运行和使用没有明确的依据和规范。</w:t>
      </w:r>
    </w:p>
    <w:p>
      <w:pPr>
        <w:pStyle w:val="3"/>
        <w:spacing w:before="200" w:after="200" w:line="480" w:lineRule="auto"/>
        <w:jc w:val="both"/>
        <w:rPr>
          <w:lang w:eastAsia="zh-CN"/>
        </w:rPr>
      </w:pPr>
      <w:bookmarkStart w:id="108" w:name="_Toc3851"/>
      <w:bookmarkStart w:id="109" w:name="_Toc10938"/>
      <w:bookmarkStart w:id="110" w:name="_Toc2952"/>
      <w:r>
        <w:rPr>
          <w:rFonts w:hint="eastAsia"/>
          <w:lang w:eastAsia="zh-CN"/>
        </w:rPr>
        <w:t>（二）资金使用方面</w:t>
      </w:r>
      <w:bookmarkEnd w:id="108"/>
      <w:bookmarkEnd w:id="109"/>
      <w:bookmarkEnd w:id="110"/>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项目批复可行性研究报告中估算总投资为21</w:t>
      </w:r>
      <w:r>
        <w:rPr>
          <w:rFonts w:hint="eastAsia" w:ascii="仿宋" w:hAnsi="仿宋" w:cs="仿宋"/>
          <w:szCs w:val="28"/>
          <w:lang w:eastAsia="zh-CN"/>
        </w:rPr>
        <w:t>,</w:t>
      </w:r>
      <w:r>
        <w:rPr>
          <w:rFonts w:hint="eastAsia" w:ascii="仿宋" w:hAnsi="仿宋" w:eastAsia="仿宋" w:cs="仿宋"/>
          <w:szCs w:val="28"/>
          <w:lang w:eastAsia="zh-CN"/>
        </w:rPr>
        <w:t>424.69万元（忻发改发〔2016〕86号），项目批复初设概算总投资23</w:t>
      </w:r>
      <w:r>
        <w:rPr>
          <w:rFonts w:hint="eastAsia" w:ascii="仿宋" w:hAnsi="仿宋" w:cs="仿宋"/>
          <w:szCs w:val="28"/>
          <w:lang w:eastAsia="zh-CN"/>
        </w:rPr>
        <w:t>,</w:t>
      </w:r>
      <w:r>
        <w:rPr>
          <w:rFonts w:hint="eastAsia" w:ascii="仿宋" w:hAnsi="仿宋" w:eastAsia="仿宋" w:cs="仿宋"/>
          <w:szCs w:val="28"/>
          <w:lang w:eastAsia="zh-CN"/>
        </w:rPr>
        <w:t>118.54万元（忻发改发〔2017〕33号），忻州市财政局根据财政实际情况，下发了《忻州市财政局关于下达2017年第二批政府债券资金的通知》（忻财煤〔2017〕13号），拨付2017年度专项资金8</w:t>
      </w:r>
      <w:r>
        <w:rPr>
          <w:rFonts w:hint="eastAsia" w:ascii="仿宋" w:hAnsi="仿宋" w:cs="仿宋"/>
          <w:szCs w:val="28"/>
          <w:lang w:eastAsia="zh-CN"/>
        </w:rPr>
        <w:t>,</w:t>
      </w:r>
      <w:r>
        <w:rPr>
          <w:rFonts w:hint="eastAsia" w:ascii="仿宋" w:hAnsi="仿宋" w:eastAsia="仿宋" w:cs="仿宋"/>
          <w:szCs w:val="28"/>
          <w:lang w:eastAsia="zh-CN"/>
        </w:rPr>
        <w:t>300</w:t>
      </w:r>
      <w:r>
        <w:rPr>
          <w:rFonts w:hint="eastAsia" w:ascii="仿宋" w:hAnsi="仿宋" w:cs="仿宋"/>
          <w:szCs w:val="28"/>
          <w:lang w:eastAsia="zh-CN"/>
        </w:rPr>
        <w:t>.00</w:t>
      </w:r>
      <w:r>
        <w:rPr>
          <w:rFonts w:hint="eastAsia" w:ascii="仿宋" w:hAnsi="仿宋" w:eastAsia="仿宋" w:cs="仿宋"/>
          <w:szCs w:val="28"/>
          <w:lang w:eastAsia="zh-CN"/>
        </w:rPr>
        <w:t>万元。截止2017年12月31日，该笔资金已使用5,283.23万元，结转下一年余额3,016.77万元，本阶段完成投资比例为63.65%。具体使用明细详见下表3-1：</w:t>
      </w:r>
    </w:p>
    <w:p>
      <w:pPr>
        <w:widowControl w:val="0"/>
        <w:spacing w:after="0" w:line="36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表3-1 资金使用情况表</w:t>
      </w:r>
    </w:p>
    <w:p>
      <w:pPr>
        <w:widowControl w:val="0"/>
        <w:spacing w:after="0" w:line="360" w:lineRule="auto"/>
        <w:ind w:firstLine="480" w:firstLineChars="200"/>
        <w:jc w:val="right"/>
        <w:rPr>
          <w:rFonts w:ascii="仿宋" w:hAnsi="仿宋" w:eastAsia="仿宋"/>
          <w:sz w:val="24"/>
          <w:szCs w:val="24"/>
          <w:lang w:eastAsia="zh-CN"/>
        </w:rPr>
      </w:pPr>
      <w:r>
        <w:rPr>
          <w:rFonts w:hint="eastAsia" w:ascii="仿宋" w:hAnsi="仿宋" w:eastAsia="仿宋"/>
          <w:sz w:val="24"/>
          <w:szCs w:val="24"/>
          <w:lang w:eastAsia="zh-CN"/>
        </w:rPr>
        <w:t>单位：万元</w:t>
      </w:r>
    </w:p>
    <w:tbl>
      <w:tblPr>
        <w:tblStyle w:val="17"/>
        <w:tblW w:w="86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915"/>
        <w:gridCol w:w="1234"/>
        <w:gridCol w:w="711"/>
        <w:gridCol w:w="189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序号</w:t>
            </w:r>
          </w:p>
        </w:tc>
        <w:tc>
          <w:tcPr>
            <w:tcW w:w="2915"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支出明细</w:t>
            </w:r>
          </w:p>
        </w:tc>
        <w:tc>
          <w:tcPr>
            <w:tcW w:w="1234"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支出金额</w:t>
            </w:r>
          </w:p>
        </w:tc>
        <w:tc>
          <w:tcPr>
            <w:tcW w:w="711"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序号</w:t>
            </w:r>
          </w:p>
        </w:tc>
        <w:tc>
          <w:tcPr>
            <w:tcW w:w="1890"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支出明细</w:t>
            </w:r>
          </w:p>
        </w:tc>
        <w:tc>
          <w:tcPr>
            <w:tcW w:w="1230"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土地出让金</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1,455.00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13</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人防工程</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152.69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耕地开垦费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116.55</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14</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基础设施配套</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160.91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3</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土地出让公示费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0.36</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15</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地质评估费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4</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土地出让评估费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3.63</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16</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报告编制费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5</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岩土工程勘察费80%付款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5.50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17</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防雷检测费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6</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测绘费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4.90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18</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渣土处理费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7</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电源接入工程费81%付款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45.00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19</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配电安防</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8</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电力设计费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2.03</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20</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图审费80%付款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9</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配电用房、器械91%付款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6.30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21</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设计费80%付款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10</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招标编制费80%付款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19.00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22</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办公用品</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11</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施工用水接入费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3.00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23</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办公家具</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12</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土地交易印花税</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58.93</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24</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监理费30%付款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42.78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699" w:type="dxa"/>
          </w:tcPr>
          <w:p>
            <w:pPr>
              <w:widowControl w:val="0"/>
              <w:spacing w:after="0" w:line="360" w:lineRule="auto"/>
              <w:jc w:val="center"/>
              <w:rPr>
                <w:rFonts w:ascii="仿宋" w:hAnsi="仿宋" w:eastAsia="仿宋"/>
                <w:sz w:val="24"/>
                <w:szCs w:val="24"/>
                <w:lang w:eastAsia="zh-CN"/>
              </w:rPr>
            </w:pPr>
          </w:p>
        </w:tc>
        <w:tc>
          <w:tcPr>
            <w:tcW w:w="2915" w:type="dxa"/>
          </w:tcPr>
          <w:p>
            <w:pPr>
              <w:widowControl w:val="0"/>
              <w:spacing w:after="0" w:line="360" w:lineRule="auto"/>
              <w:jc w:val="center"/>
              <w:rPr>
                <w:rFonts w:ascii="仿宋" w:hAnsi="仿宋" w:eastAsia="仿宋"/>
                <w:sz w:val="24"/>
                <w:szCs w:val="24"/>
                <w:lang w:eastAsia="zh-CN"/>
              </w:rPr>
            </w:pPr>
          </w:p>
        </w:tc>
        <w:tc>
          <w:tcPr>
            <w:tcW w:w="1234" w:type="dxa"/>
          </w:tcPr>
          <w:p>
            <w:pPr>
              <w:widowControl w:val="0"/>
              <w:spacing w:after="0" w:line="360" w:lineRule="auto"/>
              <w:jc w:val="center"/>
              <w:rPr>
                <w:rFonts w:ascii="仿宋" w:hAnsi="仿宋" w:eastAsia="仿宋"/>
                <w:sz w:val="24"/>
                <w:szCs w:val="24"/>
                <w:lang w:eastAsia="zh-CN"/>
              </w:rPr>
            </w:pP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25</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建工费20%付款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2,964.59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5559" w:type="dxa"/>
            <w:gridSpan w:val="4"/>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合计</w:t>
            </w:r>
          </w:p>
        </w:tc>
        <w:tc>
          <w:tcPr>
            <w:tcW w:w="3120" w:type="dxa"/>
            <w:gridSpan w:val="2"/>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5,283.23</w:t>
            </w:r>
          </w:p>
        </w:tc>
      </w:tr>
    </w:tbl>
    <w:p>
      <w:pPr>
        <w:pStyle w:val="2"/>
        <w:spacing w:before="0" w:beforeLines="0" w:after="200" w:afterLines="0" w:line="480" w:lineRule="auto"/>
        <w:jc w:val="both"/>
        <w:rPr>
          <w:sz w:val="32"/>
          <w:lang w:eastAsia="zh-CN"/>
        </w:rPr>
      </w:pPr>
      <w:bookmarkStart w:id="111" w:name="_Toc1342"/>
      <w:bookmarkStart w:id="112" w:name="_Toc23881"/>
      <w:bookmarkStart w:id="113" w:name="_Toc2770"/>
      <w:r>
        <w:rPr>
          <w:rFonts w:hint="eastAsia"/>
          <w:sz w:val="32"/>
          <w:lang w:eastAsia="zh-CN"/>
        </w:rPr>
        <w:t>四、项目组织实施情况</w:t>
      </w:r>
      <w:bookmarkEnd w:id="111"/>
      <w:bookmarkEnd w:id="112"/>
      <w:bookmarkEnd w:id="113"/>
    </w:p>
    <w:p>
      <w:pPr>
        <w:pStyle w:val="3"/>
        <w:spacing w:before="100" w:after="200" w:line="480" w:lineRule="auto"/>
        <w:jc w:val="both"/>
        <w:rPr>
          <w:lang w:eastAsia="zh-CN"/>
        </w:rPr>
      </w:pPr>
      <w:bookmarkStart w:id="114" w:name="_Toc13287"/>
      <w:bookmarkStart w:id="115" w:name="_Toc30048"/>
      <w:bookmarkStart w:id="116" w:name="_Toc5681"/>
      <w:r>
        <w:rPr>
          <w:rFonts w:hint="eastAsia"/>
          <w:lang w:eastAsia="zh-CN"/>
        </w:rPr>
        <w:t>（一）项目组织</w:t>
      </w:r>
      <w:bookmarkStart w:id="117" w:name="_Toc489127707"/>
      <w:bookmarkStart w:id="118" w:name="_Toc30907"/>
      <w:r>
        <w:rPr>
          <w:rFonts w:hint="eastAsia"/>
          <w:lang w:eastAsia="zh-CN"/>
        </w:rPr>
        <w:t>及管理</w:t>
      </w:r>
      <w:bookmarkEnd w:id="114"/>
      <w:bookmarkEnd w:id="115"/>
      <w:bookmarkEnd w:id="116"/>
    </w:p>
    <w:p>
      <w:pPr>
        <w:spacing w:after="0" w:line="480" w:lineRule="auto"/>
        <w:ind w:firstLine="560" w:firstLineChars="200"/>
        <w:jc w:val="both"/>
        <w:rPr>
          <w:lang w:eastAsia="zh-CN"/>
        </w:rPr>
      </w:pPr>
      <w:r>
        <w:rPr>
          <w:rFonts w:hint="eastAsia" w:ascii="仿宋" w:hAnsi="仿宋" w:eastAsia="仿宋" w:cs="仿宋"/>
          <w:szCs w:val="28"/>
          <w:lang w:eastAsia="zh-CN"/>
        </w:rPr>
        <w:t>1.项目预算主管单位：忻州市人民政府办公厅；</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2.项目资金拨款部门：忻州市财政局，依据市级财政预算做出资金拨付安排并组织监督管理；</w:t>
      </w:r>
    </w:p>
    <w:p>
      <w:pPr>
        <w:spacing w:after="0" w:line="480" w:lineRule="auto"/>
        <w:ind w:firstLine="560" w:firstLineChars="200"/>
        <w:jc w:val="both"/>
        <w:rPr>
          <w:lang w:eastAsia="zh-CN"/>
        </w:rPr>
      </w:pPr>
      <w:r>
        <w:rPr>
          <w:rFonts w:hint="eastAsia" w:ascii="仿宋" w:hAnsi="仿宋" w:eastAsia="仿宋" w:cs="仿宋"/>
          <w:szCs w:val="28"/>
          <w:lang w:eastAsia="zh-CN"/>
        </w:rPr>
        <w:t>3.项目主管实施部门：忻州市城乡建设开发有限公司，主要负责项目的申报、审核、认定管理、招投标管理以及项目资金管理。</w:t>
      </w:r>
    </w:p>
    <w:bookmarkEnd w:id="117"/>
    <w:bookmarkEnd w:id="118"/>
    <w:p>
      <w:pPr>
        <w:pStyle w:val="3"/>
        <w:spacing w:before="200" w:after="200" w:line="480" w:lineRule="auto"/>
        <w:jc w:val="both"/>
        <w:rPr>
          <w:lang w:eastAsia="zh-CN"/>
        </w:rPr>
      </w:pPr>
      <w:bookmarkStart w:id="119" w:name="_Toc1019"/>
      <w:bookmarkStart w:id="120" w:name="_Toc17171"/>
      <w:bookmarkStart w:id="121" w:name="_Toc6420"/>
      <w:r>
        <w:rPr>
          <w:rFonts w:hint="eastAsia"/>
          <w:lang w:eastAsia="zh-CN"/>
        </w:rPr>
        <w:t>（二）项目工程实施</w:t>
      </w:r>
      <w:bookmarkEnd w:id="119"/>
      <w:bookmarkEnd w:id="120"/>
      <w:bookmarkEnd w:id="121"/>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1.项目实施时间</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该项目计划实施时间为2017年05月05日至2018年07月30日，实际于2017年06月中旬开始基础施工。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2.项目实施范围</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本项目位于忻州建设路以东、雁门大道南街以南、团结西街北巷以西、阳光小区以北。项目规划用地面积23</w:t>
      </w:r>
      <w:r>
        <w:rPr>
          <w:rFonts w:hint="eastAsia" w:ascii="仿宋" w:hAnsi="仿宋" w:cs="仿宋"/>
          <w:szCs w:val="28"/>
          <w:lang w:eastAsia="zh-CN"/>
        </w:rPr>
        <w:t>,</w:t>
      </w:r>
      <w:r>
        <w:rPr>
          <w:rFonts w:hint="eastAsia" w:ascii="仿宋" w:hAnsi="仿宋" w:eastAsia="仿宋" w:cs="仿宋"/>
          <w:szCs w:val="28"/>
          <w:lang w:eastAsia="zh-CN"/>
        </w:rPr>
        <w:t>652.32平方米，总建筑面积47</w:t>
      </w:r>
      <w:r>
        <w:rPr>
          <w:rFonts w:hint="eastAsia" w:ascii="仿宋" w:hAnsi="仿宋" w:cs="仿宋"/>
          <w:szCs w:val="28"/>
          <w:lang w:eastAsia="zh-CN"/>
        </w:rPr>
        <w:t>,</w:t>
      </w:r>
      <w:r>
        <w:rPr>
          <w:rFonts w:hint="eastAsia" w:ascii="仿宋" w:hAnsi="仿宋" w:eastAsia="仿宋" w:cs="仿宋"/>
          <w:szCs w:val="28"/>
          <w:lang w:eastAsia="zh-CN"/>
        </w:rPr>
        <w:t>064.43平方米（地上建筑面积29</w:t>
      </w:r>
      <w:r>
        <w:rPr>
          <w:rFonts w:hint="eastAsia" w:ascii="仿宋" w:hAnsi="仿宋" w:cs="仿宋"/>
          <w:szCs w:val="28"/>
          <w:lang w:eastAsia="zh-CN"/>
        </w:rPr>
        <w:t>,</w:t>
      </w:r>
      <w:r>
        <w:rPr>
          <w:rFonts w:hint="eastAsia" w:ascii="仿宋" w:hAnsi="仿宋" w:eastAsia="仿宋" w:cs="仿宋"/>
          <w:szCs w:val="28"/>
          <w:lang w:eastAsia="zh-CN"/>
        </w:rPr>
        <w:t>064.43平方米，地下建筑面积18</w:t>
      </w:r>
      <w:r>
        <w:rPr>
          <w:rFonts w:hint="eastAsia" w:ascii="仿宋" w:hAnsi="仿宋" w:cs="仿宋"/>
          <w:szCs w:val="28"/>
          <w:lang w:eastAsia="zh-CN"/>
        </w:rPr>
        <w:t>,</w:t>
      </w:r>
      <w:r>
        <w:rPr>
          <w:rFonts w:hint="eastAsia" w:ascii="仿宋" w:hAnsi="仿宋" w:eastAsia="仿宋" w:cs="仿宋"/>
          <w:szCs w:val="28"/>
          <w:lang w:eastAsia="zh-CN"/>
        </w:rPr>
        <w:t>000</w:t>
      </w:r>
      <w:r>
        <w:rPr>
          <w:rFonts w:hint="eastAsia" w:ascii="仿宋" w:hAnsi="仿宋" w:cs="仿宋"/>
          <w:szCs w:val="28"/>
          <w:lang w:eastAsia="zh-CN"/>
        </w:rPr>
        <w:t>.00</w:t>
      </w:r>
      <w:r>
        <w:rPr>
          <w:rFonts w:hint="eastAsia" w:ascii="仿宋" w:hAnsi="仿宋" w:eastAsia="仿宋" w:cs="仿宋"/>
          <w:szCs w:val="28"/>
          <w:lang w:eastAsia="zh-CN"/>
        </w:rPr>
        <w:t>平方木），地下二层，地上七层，建筑基底总面积7</w:t>
      </w:r>
      <w:r>
        <w:rPr>
          <w:rFonts w:hint="eastAsia" w:ascii="仿宋" w:hAnsi="仿宋" w:cs="仿宋"/>
          <w:szCs w:val="28"/>
          <w:lang w:eastAsia="zh-CN"/>
        </w:rPr>
        <w:t>,</w:t>
      </w:r>
      <w:r>
        <w:rPr>
          <w:rFonts w:hint="eastAsia" w:ascii="仿宋" w:hAnsi="仿宋" w:eastAsia="仿宋" w:cs="仿宋"/>
          <w:szCs w:val="28"/>
          <w:lang w:eastAsia="zh-CN"/>
        </w:rPr>
        <w:t>029.86平方米。</w:t>
      </w:r>
    </w:p>
    <w:p>
      <w:pPr>
        <w:pStyle w:val="4"/>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3.项目实施内容</w:t>
      </w:r>
    </w:p>
    <w:p>
      <w:pPr>
        <w:pStyle w:val="4"/>
        <w:spacing w:after="0" w:line="480" w:lineRule="auto"/>
        <w:ind w:firstLine="560" w:firstLineChars="200"/>
        <w:jc w:val="both"/>
        <w:rPr>
          <w:lang w:eastAsia="zh-CN"/>
        </w:rPr>
      </w:pPr>
      <w:r>
        <w:rPr>
          <w:rFonts w:hint="eastAsia" w:ascii="仿宋" w:hAnsi="仿宋" w:eastAsia="仿宋" w:cs="仿宋"/>
          <w:szCs w:val="28"/>
          <w:lang w:eastAsia="zh-CN"/>
        </w:rPr>
        <w:t>本次新建忻州市政务服务中心业务用房一栋以及配套室外工程等。</w:t>
      </w:r>
    </w:p>
    <w:p>
      <w:pPr>
        <w:pStyle w:val="2"/>
        <w:spacing w:before="0" w:beforeLines="0" w:after="200" w:afterLines="0" w:line="480" w:lineRule="auto"/>
        <w:jc w:val="both"/>
        <w:rPr>
          <w:sz w:val="32"/>
          <w:lang w:eastAsia="zh-CN"/>
        </w:rPr>
      </w:pPr>
      <w:bookmarkStart w:id="122" w:name="_Toc31621"/>
      <w:bookmarkStart w:id="123" w:name="_Toc19645"/>
      <w:bookmarkStart w:id="124" w:name="_Toc20318"/>
      <w:r>
        <w:rPr>
          <w:rFonts w:hint="eastAsia"/>
          <w:sz w:val="32"/>
          <w:lang w:eastAsia="zh-CN"/>
        </w:rPr>
        <w:t>五、项目绩效情况</w:t>
      </w:r>
      <w:bookmarkEnd w:id="122"/>
      <w:bookmarkEnd w:id="123"/>
      <w:bookmarkEnd w:id="124"/>
    </w:p>
    <w:p>
      <w:pPr>
        <w:pStyle w:val="3"/>
        <w:spacing w:before="100" w:after="200" w:line="480" w:lineRule="auto"/>
        <w:jc w:val="both"/>
        <w:rPr>
          <w:rFonts w:ascii="仿宋" w:hAnsi="仿宋" w:eastAsia="仿宋"/>
          <w:szCs w:val="28"/>
          <w:lang w:eastAsia="zh-CN"/>
        </w:rPr>
      </w:pPr>
      <w:bookmarkStart w:id="125" w:name="_Toc28003"/>
      <w:bookmarkStart w:id="126" w:name="_Toc10695"/>
      <w:bookmarkStart w:id="127" w:name="_Toc12760"/>
      <w:r>
        <w:rPr>
          <w:rFonts w:hint="eastAsia"/>
          <w:lang w:eastAsia="zh-CN"/>
        </w:rPr>
        <w:t>（一）项目决策</w:t>
      </w:r>
      <w:bookmarkEnd w:id="125"/>
      <w:r>
        <w:rPr>
          <w:rFonts w:hint="eastAsia" w:asciiTheme="majorEastAsia" w:hAnsiTheme="majorEastAsia" w:cstheme="majorEastAsia"/>
          <w:lang w:eastAsia="zh-CN"/>
        </w:rPr>
        <w:t>（20.00分）</w:t>
      </w:r>
      <w:bookmarkEnd w:id="126"/>
      <w:bookmarkEnd w:id="127"/>
    </w:p>
    <w:p>
      <w:pPr>
        <w:spacing w:after="0" w:line="480" w:lineRule="auto"/>
        <w:ind w:firstLine="560" w:firstLineChars="200"/>
        <w:jc w:val="both"/>
        <w:rPr>
          <w:rFonts w:ascii="仿宋" w:hAnsi="仿宋" w:eastAsia="仿宋"/>
          <w:szCs w:val="28"/>
          <w:lang w:eastAsia="zh-CN"/>
        </w:rPr>
      </w:pPr>
      <w:r>
        <w:rPr>
          <w:rFonts w:hint="eastAsia" w:ascii="仿宋" w:hAnsi="仿宋" w:eastAsia="仿宋" w:cs="仿宋"/>
          <w:szCs w:val="28"/>
          <w:lang w:eastAsia="zh-CN"/>
        </w:rPr>
        <w:t>项目决策类指标主要从项目目标及决策过程两方面</w:t>
      </w:r>
      <w:r>
        <w:rPr>
          <w:rFonts w:hint="eastAsia" w:ascii="仿宋" w:hAnsi="仿宋" w:eastAsia="仿宋"/>
          <w:szCs w:val="28"/>
          <w:lang w:eastAsia="zh-CN"/>
        </w:rPr>
        <w:t>对</w:t>
      </w:r>
      <w:r>
        <w:rPr>
          <w:rFonts w:hint="eastAsia" w:ascii="仿宋" w:hAnsi="仿宋" w:eastAsia="仿宋"/>
          <w:lang w:eastAsia="zh-CN"/>
        </w:rPr>
        <w:t>政务中心建设项目</w:t>
      </w:r>
      <w:r>
        <w:rPr>
          <w:rFonts w:hint="eastAsia" w:ascii="仿宋" w:hAnsi="仿宋" w:eastAsia="仿宋"/>
          <w:szCs w:val="28"/>
          <w:lang w:eastAsia="zh-CN"/>
        </w:rPr>
        <w:t>进行评价。</w:t>
      </w:r>
    </w:p>
    <w:p>
      <w:pPr>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080000" cy="1289050"/>
            <wp:effectExtent l="0" t="95250" r="0" b="25400"/>
            <wp:docPr id="1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tbl>
      <w:tblPr>
        <w:tblStyle w:val="16"/>
        <w:tblpPr w:leftFromText="180" w:rightFromText="180" w:vertAnchor="text" w:horzAnchor="margin" w:tblpY="62"/>
        <w:tblOverlap w:val="never"/>
        <w:tblW w:w="8340" w:type="dxa"/>
        <w:tblInd w:w="0" w:type="dxa"/>
        <w:tblLayout w:type="fixed"/>
        <w:tblCellMar>
          <w:top w:w="17" w:type="dxa"/>
          <w:left w:w="17" w:type="dxa"/>
          <w:bottom w:w="17" w:type="dxa"/>
          <w:right w:w="17" w:type="dxa"/>
        </w:tblCellMar>
      </w:tblPr>
      <w:tblGrid>
        <w:gridCol w:w="2744"/>
        <w:gridCol w:w="1723"/>
        <w:gridCol w:w="1580"/>
        <w:gridCol w:w="2293"/>
      </w:tblGrid>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三级指标</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权重</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得分率</w:t>
            </w:r>
          </w:p>
        </w:tc>
      </w:tr>
      <w:tr>
        <w:tblPrEx>
          <w:tblLayout w:type="fixed"/>
          <w:tblCellMar>
            <w:top w:w="17" w:type="dxa"/>
            <w:left w:w="17" w:type="dxa"/>
            <w:bottom w:w="17" w:type="dxa"/>
            <w:right w:w="17" w:type="dxa"/>
          </w:tblCellMar>
        </w:tblPrEx>
        <w:trPr>
          <w:trHeight w:val="408" w:hRule="atLeast"/>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C111目标规范</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C112目标合理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C113目标明确</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C121决策依据</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C122决策程序</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8.00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8.00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项目决策合计</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bl>
    <w:p>
      <w:pPr>
        <w:widowControl w:val="0"/>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1.B11项目目标（9.00分）</w:t>
      </w:r>
    </w:p>
    <w:p>
      <w:pPr>
        <w:widowControl w:val="0"/>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080000" cy="1289050"/>
            <wp:effectExtent l="0" t="0" r="25400" b="0"/>
            <wp:docPr id="17"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pPr>
        <w:pStyle w:val="22"/>
        <w:spacing w:after="0" w:line="480" w:lineRule="auto"/>
        <w:ind w:firstLine="560"/>
        <w:jc w:val="both"/>
        <w:rPr>
          <w:rFonts w:ascii="仿宋" w:hAnsi="仿宋" w:eastAsia="仿宋" w:cs="仿宋"/>
          <w:szCs w:val="28"/>
          <w:lang w:eastAsia="zh-CN"/>
        </w:rPr>
      </w:pPr>
      <w:r>
        <w:rPr>
          <w:rFonts w:hint="eastAsia" w:ascii="仿宋" w:hAnsi="仿宋" w:eastAsia="仿宋" w:cs="仿宋"/>
          <w:szCs w:val="28"/>
          <w:lang w:eastAsia="zh-CN"/>
        </w:rPr>
        <w:t>（1）C111目标规范（3.00分）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lang w:eastAsia="zh-CN"/>
        </w:rPr>
        <w:t>政务中心建设项目</w:t>
      </w:r>
      <w:r>
        <w:rPr>
          <w:rFonts w:hint="eastAsia" w:ascii="仿宋" w:hAnsi="仿宋" w:eastAsia="仿宋"/>
          <w:szCs w:val="28"/>
          <w:lang w:eastAsia="zh-CN"/>
        </w:rPr>
        <w:t>的立项过程严格遵循国家、省、市各级政府的有关文件和会议精神，如</w:t>
      </w:r>
      <w:r>
        <w:rPr>
          <w:rFonts w:hint="eastAsia" w:ascii="仿宋" w:hAnsi="仿宋" w:eastAsia="仿宋" w:cs="仿宋"/>
          <w:szCs w:val="36"/>
          <w:lang w:eastAsia="zh-CN"/>
        </w:rPr>
        <w:t>《国务院办公厅印发&lt;关于全面推进政务公开工作的意见&gt;实施细则的通知》（国办发〔2016〕80号）</w:t>
      </w:r>
      <w:r>
        <w:rPr>
          <w:rFonts w:hint="eastAsia" w:ascii="仿宋" w:hAnsi="仿宋" w:eastAsia="仿宋"/>
          <w:szCs w:val="28"/>
          <w:lang w:eastAsia="zh-CN"/>
        </w:rPr>
        <w:t>和</w:t>
      </w:r>
      <w:r>
        <w:rPr>
          <w:rFonts w:hint="eastAsia" w:ascii="仿宋" w:hAnsi="仿宋" w:eastAsia="仿宋" w:cs="仿宋"/>
          <w:szCs w:val="36"/>
          <w:lang w:eastAsia="zh-CN"/>
        </w:rPr>
        <w:t>关于印发&lt;山西省政府服务平台建设总体方案&gt;的通知》（晋办发〔2015〕32号）</w:t>
      </w:r>
      <w:r>
        <w:rPr>
          <w:rFonts w:hint="eastAsia" w:ascii="仿宋" w:hAnsi="仿宋" w:eastAsia="仿宋"/>
          <w:szCs w:val="28"/>
          <w:lang w:eastAsia="zh-CN"/>
        </w:rPr>
        <w:t>等。</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在此次</w:t>
      </w:r>
      <w:r>
        <w:rPr>
          <w:rFonts w:hint="eastAsia" w:ascii="仿宋" w:hAnsi="仿宋" w:eastAsia="仿宋"/>
          <w:lang w:eastAsia="zh-CN"/>
        </w:rPr>
        <w:t>政务中心建设项目</w:t>
      </w:r>
      <w:r>
        <w:rPr>
          <w:rFonts w:hint="eastAsia" w:ascii="仿宋" w:hAnsi="仿宋" w:eastAsia="仿宋"/>
          <w:szCs w:val="28"/>
          <w:lang w:eastAsia="zh-CN"/>
        </w:rPr>
        <w:t>工作中，忻州市政务中心用房建设项目部所提供的项目文件遵循了全面性、真实性等原则，同时严格按照前述相关文件的规定，评价组通过对上述文件进行研读，确认</w:t>
      </w:r>
      <w:r>
        <w:rPr>
          <w:rFonts w:hint="eastAsia" w:ascii="仿宋" w:hAnsi="仿宋" w:eastAsia="仿宋"/>
          <w:lang w:eastAsia="zh-CN"/>
        </w:rPr>
        <w:t>该项目</w:t>
      </w:r>
      <w:r>
        <w:rPr>
          <w:rFonts w:hint="eastAsia" w:ascii="仿宋" w:hAnsi="仿宋" w:eastAsia="仿宋"/>
          <w:szCs w:val="28"/>
          <w:lang w:eastAsia="zh-CN"/>
        </w:rPr>
        <w:t>资金所涉及的项目均按上级指令性文件的要求设立，</w:t>
      </w:r>
      <w:r>
        <w:rPr>
          <w:rFonts w:hint="eastAsia" w:ascii="仿宋" w:hAnsi="仿宋" w:eastAsia="仿宋" w:cs="仿宋"/>
          <w:szCs w:val="28"/>
          <w:lang w:eastAsia="zh-CN"/>
        </w:rPr>
        <w:t>目标设定符合项目发展规划</w:t>
      </w:r>
      <w:r>
        <w:rPr>
          <w:rFonts w:hint="eastAsia" w:ascii="仿宋" w:hAnsi="仿宋" w:eastAsia="仿宋"/>
          <w:szCs w:val="28"/>
          <w:lang w:eastAsia="zh-CN"/>
        </w:rPr>
        <w:t>；设立的文件、资料符合相关要求。</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根据评分标准，该项指标得3.00分。</w:t>
      </w:r>
    </w:p>
    <w:p>
      <w:pPr>
        <w:pStyle w:val="22"/>
        <w:spacing w:after="0" w:line="480" w:lineRule="auto"/>
        <w:ind w:firstLine="560"/>
        <w:jc w:val="both"/>
        <w:rPr>
          <w:rFonts w:ascii="仿宋" w:hAnsi="仿宋" w:eastAsia="仿宋" w:cs="仿宋"/>
          <w:szCs w:val="28"/>
          <w:lang w:eastAsia="zh-CN"/>
        </w:rPr>
      </w:pPr>
      <w:r>
        <w:rPr>
          <w:rFonts w:hint="eastAsia" w:ascii="仿宋" w:hAnsi="仿宋" w:eastAsia="仿宋" w:cs="仿宋"/>
          <w:szCs w:val="28"/>
          <w:lang w:eastAsia="zh-CN"/>
        </w:rPr>
        <w:t>（2）C112目标合理（3.00分）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评价组通过对项目实施单位提供的立项文件、可行性研究的报告等资料，对项目绩效目标进行梳理，发现项目实施单位设定的绩效目标依据充分、科学合理、符合客观实际，支持该项目的建设工作。</w:t>
      </w:r>
    </w:p>
    <w:p>
      <w:pPr>
        <w:pStyle w:val="22"/>
        <w:spacing w:after="0" w:line="480" w:lineRule="auto"/>
        <w:ind w:firstLine="560"/>
        <w:jc w:val="both"/>
        <w:rPr>
          <w:rFonts w:ascii="仿宋" w:hAnsi="仿宋" w:eastAsia="仿宋"/>
          <w:szCs w:val="28"/>
          <w:lang w:eastAsia="zh-CN"/>
        </w:rPr>
      </w:pPr>
      <w:r>
        <w:rPr>
          <w:rFonts w:hint="eastAsia" w:ascii="仿宋" w:hAnsi="仿宋" w:eastAsia="仿宋"/>
          <w:szCs w:val="28"/>
          <w:lang w:eastAsia="zh-CN"/>
        </w:rPr>
        <w:t>根据评分标准，该项指标得3.00分。</w:t>
      </w:r>
    </w:p>
    <w:p>
      <w:pPr>
        <w:pStyle w:val="22"/>
        <w:spacing w:after="0" w:line="480" w:lineRule="auto"/>
        <w:ind w:firstLine="560"/>
        <w:jc w:val="both"/>
        <w:rPr>
          <w:rFonts w:ascii="仿宋" w:hAnsi="仿宋" w:eastAsia="仿宋" w:cs="仿宋"/>
          <w:szCs w:val="28"/>
          <w:lang w:eastAsia="zh-CN"/>
        </w:rPr>
      </w:pPr>
      <w:r>
        <w:rPr>
          <w:rFonts w:hint="eastAsia" w:ascii="仿宋" w:hAnsi="仿宋" w:eastAsia="仿宋" w:cs="仿宋"/>
          <w:szCs w:val="28"/>
          <w:lang w:eastAsia="zh-CN"/>
        </w:rPr>
        <w:t>（3）C113目标明确（3.00分）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评价组通过梳理出的绩效目标，发现项目实施单位的目标设立完整具体、指向明确，而且绩效目标做到了细化、量化。</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根据评分标准，该项指标得3.00分。</w:t>
      </w:r>
    </w:p>
    <w:p>
      <w:pPr>
        <w:numPr>
          <w:ilvl w:val="0"/>
          <w:numId w:val="3"/>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B12决策过程(11.00分)</w:t>
      </w:r>
    </w:p>
    <w:p>
      <w:pPr>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080000" cy="1289050"/>
            <wp:effectExtent l="0" t="95250" r="0" b="25400"/>
            <wp:docPr id="18"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（1）C121决策依据(3.00分)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决策依据衡量项目立项是否符合经济社会发展的规划及部门年度工作计划。评价组根据项目实施单位提供的立项文件、可行性研究的报告等资料发现该项目立项符合经济社会发展规划。</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根据评分标准，该项指标得3.00分。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（2）C122决策程序(8.00分)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决策程序衡量项目是否符合申报条件；事前是否已经过必要的可行性研究、专家论证、风险评估、集体决策等；申报、批复程序是否符合相关管理办法。评价组根据项目实施单位提供的资料发现，该项目建成后，将完善政务服务中心的基础设施，符合申报条件；项目立项已经过必要的可行性研究和风险评估；申报和审批均符合国家相关管理办法。评价组认为该项目的决策程序规范。</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根据评分标准，该项指标得8.00分。</w:t>
      </w:r>
    </w:p>
    <w:p>
      <w:pPr>
        <w:pStyle w:val="3"/>
        <w:numPr>
          <w:ilvl w:val="255"/>
          <w:numId w:val="0"/>
        </w:numPr>
        <w:spacing w:before="200" w:after="200" w:line="360" w:lineRule="auto"/>
        <w:jc w:val="both"/>
        <w:rPr>
          <w:lang w:eastAsia="zh-CN"/>
        </w:rPr>
      </w:pPr>
      <w:bookmarkStart w:id="128" w:name="_Toc20673"/>
      <w:bookmarkStart w:id="129" w:name="_Toc29647"/>
      <w:bookmarkStart w:id="130" w:name="_Toc15313"/>
      <w:r>
        <w:rPr>
          <w:rFonts w:hint="eastAsia"/>
          <w:lang w:eastAsia="zh-CN"/>
        </w:rPr>
        <w:t>（二）</w:t>
      </w:r>
      <w:r>
        <w:rPr>
          <w:rFonts w:hint="eastAsia" w:asciiTheme="majorEastAsia" w:hAnsiTheme="majorEastAsia" w:cstheme="majorEastAsia"/>
          <w:lang w:eastAsia="zh-CN"/>
        </w:rPr>
        <w:t>项目管理</w:t>
      </w:r>
      <w:bookmarkEnd w:id="128"/>
      <w:r>
        <w:rPr>
          <w:rFonts w:hint="eastAsia" w:asciiTheme="majorEastAsia" w:hAnsiTheme="majorEastAsia" w:cstheme="majorEastAsia"/>
          <w:lang w:eastAsia="zh-CN"/>
        </w:rPr>
        <w:t>（30.00分）</w:t>
      </w:r>
      <w:bookmarkEnd w:id="129"/>
      <w:bookmarkEnd w:id="130"/>
    </w:p>
    <w:p>
      <w:pPr>
        <w:widowControl w:val="0"/>
        <w:spacing w:line="480" w:lineRule="auto"/>
        <w:ind w:firstLine="560" w:firstLineChars="200"/>
        <w:jc w:val="both"/>
        <w:rPr>
          <w:rFonts w:ascii="仿宋" w:hAnsi="仿宋" w:eastAsia="仿宋"/>
          <w:kern w:val="2"/>
          <w:szCs w:val="28"/>
          <w:lang w:eastAsia="zh-CN" w:bidi="ar-SA"/>
        </w:rPr>
      </w:pPr>
      <w:r>
        <w:rPr>
          <w:rFonts w:hint="eastAsia" w:ascii="仿宋" w:hAnsi="仿宋" w:eastAsia="仿宋"/>
          <w:kern w:val="2"/>
          <w:szCs w:val="28"/>
          <w:lang w:eastAsia="zh-CN" w:bidi="ar-SA"/>
        </w:rPr>
        <w:t>项目管理类指标主要从资金管理和项目管控两个方面，对忻州市城乡建设开发有限公司在政务中心建设项目上的资金使用情况规范性、制度设置全面性和制度执行有效性进行评价。</w:t>
      </w:r>
    </w:p>
    <w:p>
      <w:pPr>
        <w:widowControl w:val="0"/>
        <w:spacing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080000" cy="1289050"/>
            <wp:effectExtent l="0" t="95250" r="0" b="25400"/>
            <wp:docPr id="1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bl>
      <w:tblPr>
        <w:tblStyle w:val="16"/>
        <w:tblpPr w:leftFromText="180" w:rightFromText="180" w:vertAnchor="text" w:horzAnchor="margin" w:tblpY="62"/>
        <w:tblOverlap w:val="never"/>
        <w:tblW w:w="8340" w:type="dxa"/>
        <w:tblInd w:w="0" w:type="dxa"/>
        <w:tblLayout w:type="fixed"/>
        <w:tblCellMar>
          <w:top w:w="17" w:type="dxa"/>
          <w:left w:w="17" w:type="dxa"/>
          <w:bottom w:w="17" w:type="dxa"/>
          <w:right w:w="17" w:type="dxa"/>
        </w:tblCellMar>
      </w:tblPr>
      <w:tblGrid>
        <w:gridCol w:w="2744"/>
        <w:gridCol w:w="1723"/>
        <w:gridCol w:w="1580"/>
        <w:gridCol w:w="2293"/>
      </w:tblGrid>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三级指标</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权重</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得分率</w:t>
            </w:r>
          </w:p>
        </w:tc>
      </w:tr>
      <w:tr>
        <w:tblPrEx>
          <w:tblLayout w:type="fixed"/>
          <w:tblCellMar>
            <w:top w:w="17" w:type="dxa"/>
            <w:left w:w="17" w:type="dxa"/>
            <w:bottom w:w="17" w:type="dxa"/>
            <w:right w:w="17" w:type="dxa"/>
          </w:tblCellMar>
        </w:tblPrEx>
        <w:trPr>
          <w:trHeight w:val="408" w:hRule="atLeast"/>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C211资金到位</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C212资金使用</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7.00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7.00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C213财务管理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25.00%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C221制度有效</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C222进度管理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C223成本管理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C224质量管理</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项目管理合计</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17.00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56.67%</w:t>
            </w:r>
          </w:p>
        </w:tc>
      </w:tr>
    </w:tbl>
    <w:p>
      <w:pPr>
        <w:widowControl w:val="0"/>
        <w:spacing w:after="0" w:line="480" w:lineRule="auto"/>
        <w:ind w:firstLine="560" w:firstLineChars="200"/>
        <w:jc w:val="both"/>
        <w:rPr>
          <w:rFonts w:ascii="仿宋" w:hAnsi="仿宋" w:eastAsia="仿宋" w:cs="仿宋"/>
          <w:szCs w:val="28"/>
          <w:lang w:eastAsia="zh-CN"/>
        </w:rPr>
      </w:pPr>
      <w:bookmarkStart w:id="131" w:name="_Toc11816"/>
      <w:r>
        <w:rPr>
          <w:rFonts w:hint="eastAsia" w:ascii="仿宋" w:hAnsi="仿宋" w:eastAsia="仿宋" w:cs="仿宋"/>
          <w:szCs w:val="28"/>
          <w:lang w:eastAsia="zh-CN"/>
        </w:rPr>
        <w:t>1.B21资金管理（15.00分）</w:t>
      </w:r>
    </w:p>
    <w:p>
      <w:pPr>
        <w:widowControl w:val="0"/>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080000" cy="1289050"/>
            <wp:effectExtent l="0" t="0" r="25400" b="0"/>
            <wp:docPr id="2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pPr>
        <w:pStyle w:val="22"/>
        <w:spacing w:after="0" w:line="480" w:lineRule="auto"/>
        <w:ind w:firstLine="560"/>
        <w:jc w:val="both"/>
        <w:rPr>
          <w:rFonts w:ascii="仿宋" w:hAnsi="仿宋" w:eastAsia="仿宋" w:cs="仿宋"/>
          <w:szCs w:val="28"/>
          <w:lang w:eastAsia="zh-CN"/>
        </w:rPr>
      </w:pPr>
      <w:r>
        <w:rPr>
          <w:rFonts w:hint="eastAsia" w:ascii="仿宋" w:hAnsi="仿宋" w:eastAsia="仿宋" w:cs="仿宋"/>
          <w:szCs w:val="28"/>
          <w:lang w:eastAsia="zh-CN"/>
        </w:rPr>
        <w:t>（1）C211资金到位（4.00分）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该指标通过资金到位率和到位及时率来衡量。</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资金到位率=（实际到位资金/计划投入资金）×100%。</w:t>
      </w:r>
      <w:r>
        <w:rPr>
          <w:rFonts w:hint="eastAsia" w:ascii="仿宋" w:hAnsi="仿宋" w:eastAsia="仿宋" w:cs="仿宋"/>
          <w:lang w:eastAsia="zh-CN"/>
        </w:rPr>
        <w:t>评价组根据现场核实及获取的资料进行整理和分析，</w:t>
      </w:r>
      <w:r>
        <w:rPr>
          <w:rFonts w:hint="eastAsia" w:ascii="仿宋" w:hAnsi="仿宋" w:eastAsia="仿宋"/>
          <w:szCs w:val="28"/>
          <w:lang w:eastAsia="zh-CN"/>
        </w:rPr>
        <w:t>忻州市政务中心建设项目</w:t>
      </w:r>
      <w:r>
        <w:rPr>
          <w:rFonts w:hint="eastAsia" w:ascii="仿宋" w:hAnsi="仿宋" w:eastAsia="仿宋" w:cs="仿宋"/>
          <w:szCs w:val="28"/>
          <w:lang w:eastAsia="zh-CN"/>
        </w:rPr>
        <w:t>由忻州市财政局拨付2017年度专项资金8,300.00万元资金。但</w:t>
      </w:r>
      <w:r>
        <w:rPr>
          <w:rFonts w:hint="eastAsia" w:ascii="仿宋" w:hAnsi="仿宋" w:eastAsia="仿宋"/>
          <w:szCs w:val="28"/>
          <w:lang w:eastAsia="zh-CN"/>
        </w:rPr>
        <w:t>忻州市城乡建设开发有限公司</w:t>
      </w:r>
      <w:r>
        <w:rPr>
          <w:rFonts w:hint="eastAsia" w:ascii="仿宋" w:hAnsi="仿宋" w:eastAsia="仿宋" w:cs="仿宋"/>
          <w:szCs w:val="28"/>
          <w:lang w:eastAsia="zh-CN"/>
        </w:rPr>
        <w:t>没有提供2017年度该笔资金的资金申请文件或资料，未知2017年度计划投入资金数，导致评价组无法衡量该项目的资金到位率。评价组本着科学谨慎的原则，对该指标扣2.00分。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到位及时率该衡量项目专项资金是否及时到位。评价组通过研读忻州市城乡建设开发有限公司提供的资金下达文件得知，该笔资金于2017年06月18日下达。由于对方未提供资金申请文件，评价组通过研读忻州市城乡建设开发有限公司提供的施工合同得知，签订合同日期为2017年05月25日，施工方于2017年05月25日当日开始履行合同义务，且项目正式开工时间为6月中旬，资金下达时间较开工日期基本靠近，因此评价组认为该笔资金到位及时。</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按照评分标准，该项指标得2.00分。</w:t>
      </w:r>
    </w:p>
    <w:p>
      <w:pPr>
        <w:pStyle w:val="22"/>
        <w:spacing w:after="0" w:line="480" w:lineRule="auto"/>
        <w:ind w:firstLine="560"/>
        <w:jc w:val="both"/>
        <w:rPr>
          <w:rFonts w:ascii="仿宋" w:hAnsi="仿宋" w:eastAsia="仿宋" w:cs="仿宋"/>
          <w:szCs w:val="28"/>
          <w:lang w:eastAsia="zh-CN"/>
        </w:rPr>
      </w:pPr>
      <w:r>
        <w:rPr>
          <w:rFonts w:hint="eastAsia" w:ascii="仿宋" w:hAnsi="仿宋" w:eastAsia="仿宋" w:cs="仿宋"/>
          <w:szCs w:val="28"/>
          <w:lang w:eastAsia="zh-CN"/>
        </w:rPr>
        <w:t>（2）C212资金使用（7.00分）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该指标主要衡量项目单位的资金支出是否符合国家财经法规；是否存在虚列、套取、</w:t>
      </w:r>
      <w:r>
        <w:rPr>
          <w:rFonts w:hint="eastAsia" w:ascii="仿宋" w:hAnsi="仿宋" w:eastAsia="仿宋" w:cs="仿宋"/>
          <w:color w:val="000000"/>
          <w:szCs w:val="28"/>
          <w:lang w:eastAsia="zh-CN" w:bidi="ar"/>
        </w:rPr>
        <w:t>截留、挤占、挪用、超标准开支等情况</w:t>
      </w:r>
      <w:r>
        <w:rPr>
          <w:rFonts w:hint="eastAsia" w:ascii="仿宋" w:hAnsi="仿宋" w:eastAsia="仿宋" w:cs="仿宋"/>
          <w:szCs w:val="28"/>
          <w:lang w:eastAsia="zh-CN"/>
        </w:rPr>
        <w:t>。</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评价组根据项目实施单位提供的项目批复可行性研究报告得知忻州市财政局根据财政实际情况，下发了《忻州市财政局关于下达2017年第二批政府债券资金的通知》（忻财煤〔2017〕13号），拨付2017年度专项资金8</w:t>
      </w:r>
      <w:r>
        <w:rPr>
          <w:rFonts w:hint="eastAsia" w:ascii="仿宋" w:hAnsi="仿宋" w:cs="仿宋"/>
          <w:szCs w:val="28"/>
          <w:lang w:eastAsia="zh-CN"/>
        </w:rPr>
        <w:t>,</w:t>
      </w:r>
      <w:r>
        <w:rPr>
          <w:rFonts w:hint="eastAsia" w:ascii="仿宋" w:hAnsi="仿宋" w:eastAsia="仿宋" w:cs="仿宋"/>
          <w:szCs w:val="28"/>
          <w:lang w:eastAsia="zh-CN"/>
        </w:rPr>
        <w:t>300</w:t>
      </w:r>
      <w:r>
        <w:rPr>
          <w:rFonts w:hint="eastAsia" w:ascii="仿宋" w:hAnsi="仿宋" w:cs="仿宋"/>
          <w:szCs w:val="28"/>
          <w:lang w:eastAsia="zh-CN"/>
        </w:rPr>
        <w:t>.00</w:t>
      </w:r>
      <w:r>
        <w:rPr>
          <w:rFonts w:hint="eastAsia" w:ascii="仿宋" w:hAnsi="仿宋" w:eastAsia="仿宋" w:cs="仿宋"/>
          <w:szCs w:val="28"/>
          <w:lang w:eastAsia="zh-CN"/>
        </w:rPr>
        <w:t>万元。截止2017年12月31日，该笔资金已使用5,283.23万元，结转下一年余额3,016.77万元，本阶段完成投资比例为63.65%。具体使用明细详见下表3-1：</w:t>
      </w:r>
    </w:p>
    <w:p>
      <w:pPr>
        <w:widowControl w:val="0"/>
        <w:spacing w:after="0" w:line="36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表3-1 资金使用情况表</w:t>
      </w:r>
    </w:p>
    <w:p>
      <w:pPr>
        <w:widowControl w:val="0"/>
        <w:spacing w:after="0" w:line="360" w:lineRule="auto"/>
        <w:ind w:firstLine="480" w:firstLineChars="200"/>
        <w:jc w:val="right"/>
        <w:rPr>
          <w:rFonts w:ascii="仿宋" w:hAnsi="仿宋" w:eastAsia="仿宋"/>
          <w:sz w:val="24"/>
          <w:szCs w:val="24"/>
          <w:lang w:eastAsia="zh-CN"/>
        </w:rPr>
      </w:pPr>
      <w:r>
        <w:rPr>
          <w:rFonts w:hint="eastAsia" w:ascii="仿宋" w:hAnsi="仿宋" w:eastAsia="仿宋"/>
          <w:sz w:val="24"/>
          <w:szCs w:val="24"/>
          <w:lang w:eastAsia="zh-CN"/>
        </w:rPr>
        <w:t>单位：万元</w:t>
      </w:r>
    </w:p>
    <w:tbl>
      <w:tblPr>
        <w:tblStyle w:val="17"/>
        <w:tblW w:w="86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915"/>
        <w:gridCol w:w="1234"/>
        <w:gridCol w:w="711"/>
        <w:gridCol w:w="189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序号</w:t>
            </w:r>
          </w:p>
        </w:tc>
        <w:tc>
          <w:tcPr>
            <w:tcW w:w="2915"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支出明细</w:t>
            </w:r>
          </w:p>
        </w:tc>
        <w:tc>
          <w:tcPr>
            <w:tcW w:w="1234"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支出金额</w:t>
            </w:r>
          </w:p>
        </w:tc>
        <w:tc>
          <w:tcPr>
            <w:tcW w:w="711"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序号</w:t>
            </w:r>
          </w:p>
        </w:tc>
        <w:tc>
          <w:tcPr>
            <w:tcW w:w="1890"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支出明细</w:t>
            </w:r>
          </w:p>
        </w:tc>
        <w:tc>
          <w:tcPr>
            <w:tcW w:w="1230" w:type="dxa"/>
          </w:tcPr>
          <w:p>
            <w:pPr>
              <w:widowControl w:val="0"/>
              <w:spacing w:after="0" w:line="360" w:lineRule="auto"/>
              <w:jc w:val="center"/>
              <w:rPr>
                <w:rFonts w:ascii="仿宋" w:hAnsi="仿宋" w:eastAsia="仿宋"/>
                <w:b/>
                <w:bCs/>
                <w:sz w:val="24"/>
                <w:szCs w:val="24"/>
                <w:lang w:eastAsia="zh-CN"/>
              </w:rPr>
            </w:pPr>
            <w:r>
              <w:rPr>
                <w:rFonts w:hint="eastAsia" w:ascii="仿宋" w:hAnsi="仿宋" w:eastAsia="仿宋"/>
                <w:b/>
                <w:bCs/>
                <w:sz w:val="24"/>
                <w:szCs w:val="24"/>
                <w:lang w:eastAsia="zh-CN"/>
              </w:rPr>
              <w:t>支出金额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土地出让金</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1,455.00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13</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人防工程</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152.69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耕地开垦费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116.55</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14</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基础设施配套</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160.91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3</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土地出让公示费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0.36</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15</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地质评估费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4</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土地出让评估费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3.63</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16</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报告编制费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5</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岩土工程勘察费80%付款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5.50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17</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防雷检测费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6</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测绘费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4.90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18</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渣土处理费</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7</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电源接入工程费81%付款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45.00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19</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配电安防</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8</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电力设计费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2.03</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20</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图审费80%付款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9</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配电用房、器械91%付款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6.30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21</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设计费80%付款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10</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招标编制费80%付款</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19.00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22</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办公用品</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11</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施工用水接入费</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3.00</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23</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办公家具</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12</w:t>
            </w:r>
          </w:p>
        </w:tc>
        <w:tc>
          <w:tcPr>
            <w:tcW w:w="2915"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土地交易印花税</w:t>
            </w:r>
          </w:p>
        </w:tc>
        <w:tc>
          <w:tcPr>
            <w:tcW w:w="1234"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58.93</w:t>
            </w:r>
          </w:p>
        </w:tc>
        <w:tc>
          <w:tcPr>
            <w:tcW w:w="711" w:type="dxa"/>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24</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监理费30%付款</w:t>
            </w:r>
          </w:p>
        </w:tc>
        <w:tc>
          <w:tcPr>
            <w:tcW w:w="1230" w:type="dxa"/>
          </w:tcPr>
          <w:p>
            <w:pPr>
              <w:widowControl w:val="0"/>
              <w:spacing w:after="0" w:line="360" w:lineRule="auto"/>
              <w:jc w:val="right"/>
              <w:rPr>
                <w:rFonts w:ascii="仿宋" w:hAnsi="仿宋" w:eastAsia="仿宋"/>
                <w:sz w:val="24"/>
                <w:szCs w:val="24"/>
                <w:lang w:eastAsia="zh-CN"/>
              </w:rPr>
            </w:pPr>
            <w:r>
              <w:rPr>
                <w:rFonts w:hint="eastAsia" w:ascii="仿宋" w:hAnsi="仿宋" w:eastAsia="仿宋"/>
                <w:sz w:val="24"/>
                <w:szCs w:val="24"/>
                <w:lang w:eastAsia="zh-CN"/>
              </w:rPr>
              <w:t>42.78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9" w:type="dxa"/>
          </w:tcPr>
          <w:p>
            <w:pPr>
              <w:widowControl w:val="0"/>
              <w:spacing w:after="0" w:line="360" w:lineRule="auto"/>
              <w:jc w:val="center"/>
              <w:rPr>
                <w:rFonts w:ascii="仿宋" w:hAnsi="仿宋" w:eastAsia="仿宋"/>
                <w:sz w:val="24"/>
                <w:szCs w:val="24"/>
                <w:lang w:eastAsia="zh-CN"/>
              </w:rPr>
            </w:pPr>
          </w:p>
        </w:tc>
        <w:tc>
          <w:tcPr>
            <w:tcW w:w="2915" w:type="dxa"/>
          </w:tcPr>
          <w:p>
            <w:pPr>
              <w:widowControl w:val="0"/>
              <w:spacing w:after="0" w:line="360" w:lineRule="auto"/>
              <w:jc w:val="center"/>
              <w:rPr>
                <w:rFonts w:ascii="仿宋" w:hAnsi="仿宋" w:eastAsia="仿宋"/>
                <w:sz w:val="24"/>
                <w:szCs w:val="24"/>
                <w:lang w:eastAsia="zh-CN"/>
              </w:rPr>
            </w:pPr>
          </w:p>
        </w:tc>
        <w:tc>
          <w:tcPr>
            <w:tcW w:w="1234" w:type="dxa"/>
          </w:tcPr>
          <w:p>
            <w:pPr>
              <w:widowControl w:val="0"/>
              <w:spacing w:after="0" w:line="360" w:lineRule="auto"/>
              <w:jc w:val="center"/>
            </w:pPr>
          </w:p>
        </w:tc>
        <w:tc>
          <w:tcPr>
            <w:tcW w:w="711" w:type="dxa"/>
          </w:tcPr>
          <w:p>
            <w:pPr>
              <w:widowControl w:val="0"/>
              <w:spacing w:after="0" w:line="360" w:lineRule="auto"/>
              <w:jc w:val="center"/>
            </w:pPr>
            <w:r>
              <w:rPr>
                <w:rFonts w:hint="eastAsia" w:ascii="仿宋" w:hAnsi="仿宋" w:eastAsia="仿宋"/>
                <w:sz w:val="24"/>
                <w:szCs w:val="24"/>
                <w:lang w:eastAsia="zh-CN"/>
              </w:rPr>
              <w:t>25</w:t>
            </w:r>
          </w:p>
        </w:tc>
        <w:tc>
          <w:tcPr>
            <w:tcW w:w="1890" w:type="dxa"/>
          </w:tcPr>
          <w:p>
            <w:pPr>
              <w:widowControl w:val="0"/>
              <w:spacing w:after="0" w:line="360" w:lineRule="auto"/>
              <w:jc w:val="left"/>
              <w:rPr>
                <w:rFonts w:ascii="仿宋" w:hAnsi="仿宋" w:eastAsia="仿宋"/>
                <w:sz w:val="24"/>
                <w:szCs w:val="24"/>
                <w:lang w:eastAsia="zh-CN"/>
              </w:rPr>
            </w:pPr>
            <w:r>
              <w:rPr>
                <w:rFonts w:hint="eastAsia" w:ascii="仿宋" w:hAnsi="仿宋" w:eastAsia="仿宋"/>
                <w:sz w:val="24"/>
                <w:szCs w:val="24"/>
                <w:lang w:eastAsia="zh-CN"/>
              </w:rPr>
              <w:t>建工费20%付款</w:t>
            </w:r>
          </w:p>
        </w:tc>
        <w:tc>
          <w:tcPr>
            <w:tcW w:w="1230" w:type="dxa"/>
          </w:tcPr>
          <w:p>
            <w:pPr>
              <w:widowControl w:val="0"/>
              <w:spacing w:after="0" w:line="360" w:lineRule="auto"/>
              <w:jc w:val="right"/>
            </w:pPr>
            <w:r>
              <w:rPr>
                <w:rFonts w:hint="eastAsia" w:ascii="仿宋" w:hAnsi="仿宋" w:eastAsia="仿宋"/>
                <w:sz w:val="24"/>
                <w:szCs w:val="24"/>
                <w:lang w:eastAsia="zh-CN"/>
              </w:rPr>
              <w:t>2,964.59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59" w:type="dxa"/>
            <w:gridSpan w:val="4"/>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合计</w:t>
            </w:r>
          </w:p>
        </w:tc>
        <w:tc>
          <w:tcPr>
            <w:tcW w:w="3120" w:type="dxa"/>
            <w:gridSpan w:val="2"/>
          </w:tcPr>
          <w:p>
            <w:pPr>
              <w:widowControl w:val="0"/>
              <w:spacing w:after="0" w:line="360" w:lineRule="auto"/>
              <w:jc w:val="center"/>
              <w:rPr>
                <w:rFonts w:ascii="仿宋" w:hAnsi="仿宋" w:eastAsia="仿宋"/>
                <w:sz w:val="24"/>
                <w:szCs w:val="24"/>
                <w:lang w:eastAsia="zh-CN"/>
              </w:rPr>
            </w:pPr>
            <w:r>
              <w:rPr>
                <w:rFonts w:hint="eastAsia" w:ascii="仿宋" w:hAnsi="仿宋" w:eastAsia="仿宋"/>
                <w:sz w:val="24"/>
                <w:szCs w:val="24"/>
                <w:lang w:eastAsia="zh-CN"/>
              </w:rPr>
              <w:t>5,283.23</w:t>
            </w:r>
          </w:p>
        </w:tc>
      </w:tr>
    </w:tbl>
    <w:p>
      <w:pPr>
        <w:pStyle w:val="22"/>
        <w:spacing w:after="0" w:line="480" w:lineRule="auto"/>
        <w:ind w:firstLine="560"/>
        <w:rPr>
          <w:rFonts w:ascii="仿宋" w:hAnsi="仿宋" w:eastAsia="仿宋"/>
          <w:szCs w:val="28"/>
          <w:lang w:eastAsia="zh-CN"/>
        </w:rPr>
      </w:pPr>
      <w:r>
        <w:rPr>
          <w:rFonts w:hint="eastAsia" w:ascii="仿宋" w:hAnsi="仿宋" w:eastAsia="仿宋"/>
          <w:szCs w:val="28"/>
          <w:lang w:eastAsia="zh-CN"/>
        </w:rPr>
        <w:t>评价组通过对实施单位提供的资金支出记账凭证进行研读，发现该笔资金并无</w:t>
      </w:r>
      <w:r>
        <w:rPr>
          <w:rFonts w:hint="eastAsia" w:ascii="仿宋" w:hAnsi="仿宋" w:eastAsia="仿宋" w:cs="仿宋"/>
          <w:szCs w:val="28"/>
          <w:lang w:eastAsia="zh-CN"/>
        </w:rPr>
        <w:t>虚列、套取、</w:t>
      </w:r>
      <w:r>
        <w:rPr>
          <w:rFonts w:hint="eastAsia" w:ascii="仿宋" w:hAnsi="仿宋" w:eastAsia="仿宋" w:cs="仿宋"/>
          <w:color w:val="000000"/>
          <w:szCs w:val="28"/>
          <w:lang w:eastAsia="zh-CN" w:bidi="ar"/>
        </w:rPr>
        <w:t>截留、挤占、挪用、超标准开支等情况，且支出依据合规。</w:t>
      </w:r>
    </w:p>
    <w:p>
      <w:pPr>
        <w:pStyle w:val="22"/>
        <w:spacing w:after="0" w:line="480" w:lineRule="auto"/>
        <w:ind w:firstLine="560"/>
        <w:rPr>
          <w:rFonts w:ascii="仿宋" w:hAnsi="仿宋" w:eastAsia="仿宋"/>
          <w:szCs w:val="28"/>
          <w:lang w:eastAsia="zh-CN"/>
        </w:rPr>
      </w:pPr>
      <w:r>
        <w:rPr>
          <w:rFonts w:hint="eastAsia" w:ascii="仿宋" w:hAnsi="仿宋" w:eastAsia="仿宋"/>
          <w:szCs w:val="28"/>
          <w:lang w:eastAsia="zh-CN"/>
        </w:rPr>
        <w:t>按照评分标准，该项指标得7.00分。</w:t>
      </w:r>
    </w:p>
    <w:p>
      <w:pPr>
        <w:pStyle w:val="22"/>
        <w:spacing w:after="0" w:line="480" w:lineRule="auto"/>
        <w:ind w:firstLine="560"/>
        <w:jc w:val="both"/>
        <w:rPr>
          <w:rFonts w:ascii="仿宋" w:hAnsi="仿宋" w:eastAsia="仿宋" w:cs="仿宋"/>
          <w:szCs w:val="28"/>
          <w:lang w:eastAsia="zh-CN"/>
        </w:rPr>
      </w:pPr>
      <w:r>
        <w:rPr>
          <w:rFonts w:hint="eastAsia" w:ascii="仿宋" w:hAnsi="仿宋" w:eastAsia="仿宋" w:cs="仿宋"/>
          <w:szCs w:val="28"/>
          <w:lang w:eastAsia="zh-CN"/>
        </w:rPr>
        <w:t>（3）C213财务管理（4.00分）</w:t>
      </w:r>
    </w:p>
    <w:p>
      <w:pPr>
        <w:pStyle w:val="22"/>
        <w:widowControl w:val="0"/>
        <w:spacing w:after="0" w:line="480" w:lineRule="auto"/>
        <w:ind w:firstLine="560"/>
        <w:jc w:val="both"/>
        <w:rPr>
          <w:rFonts w:ascii="仿宋" w:hAnsi="仿宋" w:eastAsia="仿宋"/>
          <w:szCs w:val="28"/>
          <w:lang w:eastAsia="zh-CN"/>
        </w:rPr>
      </w:pPr>
      <w:r>
        <w:rPr>
          <w:rFonts w:hint="eastAsia" w:ascii="仿宋" w:hAnsi="仿宋" w:eastAsia="仿宋" w:cs="仿宋"/>
          <w:kern w:val="2"/>
          <w:szCs w:val="28"/>
          <w:lang w:eastAsia="zh-CN" w:bidi="ar-SA"/>
        </w:rPr>
        <w:t>财务管理主要考核财务管理制度是否健全；是否严格执行制度；会计核算是否规范；是否已制定或具有相应的财务监控机制；是否采取了相应的财务检查等必要的监控措施或手段。忻州市城乡建设开发有限公司未提供财务管理制度；也没有相应的财务监控机制。从提供的账簿、记账凭证、原始凭证等资料来看，会计核算规范</w:t>
      </w:r>
      <w:r>
        <w:rPr>
          <w:rFonts w:hint="eastAsia" w:ascii="仿宋" w:hAnsi="仿宋" w:eastAsia="仿宋"/>
          <w:szCs w:val="28"/>
          <w:lang w:eastAsia="zh-CN"/>
        </w:rPr>
        <w:t>。该指标扣3.00分。</w:t>
      </w:r>
    </w:p>
    <w:p>
      <w:pPr>
        <w:pStyle w:val="22"/>
        <w:widowControl w:val="0"/>
        <w:spacing w:after="0" w:line="480" w:lineRule="auto"/>
        <w:ind w:firstLine="560"/>
        <w:jc w:val="both"/>
        <w:rPr>
          <w:rFonts w:ascii="仿宋" w:hAnsi="仿宋" w:eastAsia="仿宋"/>
          <w:szCs w:val="28"/>
          <w:lang w:eastAsia="zh-CN"/>
        </w:rPr>
      </w:pPr>
      <w:r>
        <w:rPr>
          <w:rFonts w:hint="eastAsia" w:ascii="仿宋" w:hAnsi="仿宋" w:eastAsia="仿宋"/>
          <w:szCs w:val="28"/>
          <w:lang w:eastAsia="zh-CN"/>
        </w:rPr>
        <w:t>按照评分标准，该项指标得1.00分。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2.B22项目管控（15.00分)</w:t>
      </w:r>
    </w:p>
    <w:p>
      <w:pPr>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080000" cy="1289050"/>
            <wp:effectExtent l="0" t="0" r="25400" b="0"/>
            <wp:docPr id="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（1）C221制度有效(4.00分)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制度有效主要从项目管控制度健全性和制度执行有效性两方面考核。</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项目管控制度健全性主要衡量是否已制定或具有相应的业务管理制度，业务管理制度是否合法、合规、完整。反映和考核业务管理制度对项目顺利实施的保障情况。绩效评价组通过对现场资料核查以及对项目实施单位交回的资料整理分析后发现，忻州市政务服务中心业务用房建设项目部提供了项目部管理制度，但没有提供档案管理制度、合同管理制度等，导致业务制度不完整。该处扣2.00分。</w:t>
      </w:r>
    </w:p>
    <w:p>
      <w:pPr>
        <w:widowControl w:val="0"/>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制度执行有效性主要衡量是否遵守相关法律法规和业务管理规定；项目调整及支出调整手续是否完备；项目合同书、验收报告、技术鉴定等资料是否齐全并及时归档；项目实施的人员条件、场地设备、信息支撑等是否落实到位。评价组通过现场核查和对项目实施单位提供的资料进行整理分析后发现，忻州市城乡建设开发有限公司提供的管理制度并不全面，导致评价组无法衡量制度执行是否有效，且由于没有档案管理制度，导致技术鉴定等资料并不齐全。该处扣2.00分。</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根据评分标准，该项指标得0.00分。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（2）C222进度管理(3.00分)</w:t>
      </w:r>
    </w:p>
    <w:p>
      <w:pPr>
        <w:widowControl w:val="0"/>
        <w:spacing w:after="0" w:line="480" w:lineRule="auto"/>
        <w:ind w:firstLine="560" w:firstLineChars="200"/>
        <w:jc w:val="both"/>
        <w:rPr>
          <w:rFonts w:ascii="仿宋" w:hAnsi="仿宋" w:eastAsia="仿宋" w:cs="仿宋"/>
          <w:szCs w:val="28"/>
          <w:lang w:eastAsia="zh-CN"/>
        </w:rPr>
      </w:pPr>
      <w:r>
        <w:rPr>
          <w:rFonts w:hint="eastAsia" w:ascii="仿宋" w:hAnsi="仿宋" w:eastAsia="仿宋"/>
          <w:szCs w:val="28"/>
          <w:lang w:eastAsia="zh-CN"/>
        </w:rPr>
        <w:t>进度管理主要考核项目是否按预计进度进行监理。评价组通过实地考察以及对各项目实施单位交回的资料整理分析后发现，</w:t>
      </w:r>
      <w:r>
        <w:rPr>
          <w:rFonts w:hint="eastAsia" w:ascii="仿宋" w:hAnsi="仿宋" w:eastAsia="仿宋" w:cs="仿宋"/>
          <w:szCs w:val="28"/>
          <w:lang w:eastAsia="zh-CN"/>
        </w:rPr>
        <w:t>政务中心建设项目按照预计进度进行监理，按时呈报监理日志、监理月报。</w:t>
      </w:r>
    </w:p>
    <w:p>
      <w:pPr>
        <w:widowControl w:val="0"/>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根据评分标准，该项指标得3.00分。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（3）C223质量管理(4.00分)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质量管理主要考核项目实施单位是否已制定或具有相应的项目质量标准；是否采取了相应的项目质量检查或验收等必须的控制措施或手段。忻州市城乡建设开发有限公司在与施工方签合同时都已约定了项目的质量标准，也确定了相应的项目质量检查或验收等必须的控制措施，根据评分标准，该项指标得4.00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（4）C224成本管理(4.00分)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成本管理主要考核是否能够严格执行项目成本控制与采购制度。评价组通过对现场资料核查以及对各项目实施单位交回的资料整理分析后发现，忻州市城乡建设开发有限公司未能提供成本控制与采购制度。该指标不得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故根据评分标准，该项指标得0.00分。</w:t>
      </w:r>
    </w:p>
    <w:p>
      <w:pPr>
        <w:pStyle w:val="3"/>
        <w:numPr>
          <w:ilvl w:val="255"/>
          <w:numId w:val="0"/>
        </w:numPr>
        <w:spacing w:before="200" w:after="200" w:line="480" w:lineRule="auto"/>
        <w:jc w:val="both"/>
        <w:rPr>
          <w:lang w:eastAsia="zh-CN"/>
        </w:rPr>
      </w:pPr>
      <w:bookmarkStart w:id="132" w:name="_Toc13163"/>
      <w:bookmarkStart w:id="133" w:name="_Toc23795"/>
      <w:r>
        <w:rPr>
          <w:rFonts w:hint="eastAsia"/>
          <w:lang w:eastAsia="zh-CN"/>
        </w:rPr>
        <w:t>（三）</w:t>
      </w:r>
      <w:r>
        <w:rPr>
          <w:rFonts w:hint="eastAsia" w:asciiTheme="majorEastAsia" w:hAnsiTheme="majorEastAsia" w:cstheme="majorEastAsia"/>
          <w:lang w:eastAsia="zh-CN"/>
        </w:rPr>
        <w:t>项目绩效</w:t>
      </w:r>
      <w:bookmarkEnd w:id="131"/>
      <w:r>
        <w:rPr>
          <w:rFonts w:hint="eastAsia" w:asciiTheme="majorEastAsia" w:hAnsiTheme="majorEastAsia" w:cstheme="majorEastAsia"/>
          <w:lang w:eastAsia="zh-CN"/>
        </w:rPr>
        <w:t>（50.00分）</w:t>
      </w:r>
      <w:bookmarkEnd w:id="132"/>
      <w:bookmarkEnd w:id="133"/>
    </w:p>
    <w:p>
      <w:pPr>
        <w:widowControl w:val="0"/>
        <w:spacing w:line="480" w:lineRule="auto"/>
        <w:ind w:firstLine="560" w:firstLineChars="200"/>
        <w:jc w:val="both"/>
        <w:rPr>
          <w:lang w:eastAsia="zh-CN"/>
        </w:rPr>
      </w:pPr>
      <w:r>
        <w:rPr>
          <w:rFonts w:hint="eastAsia" w:ascii="仿宋" w:hAnsi="仿宋" w:eastAsia="仿宋" w:cs="仿宋"/>
          <w:szCs w:val="28"/>
          <w:lang w:eastAsia="zh-CN"/>
        </w:rPr>
        <w:t>项目绩效从项目产出和项目效果两个方面，对忻州市政务中心建设工程项目进行绩效评价。</w:t>
      </w:r>
    </w:p>
    <w:p>
      <w:pPr>
        <w:rPr>
          <w:lang w:eastAsia="zh-CN"/>
        </w:rPr>
      </w:pPr>
      <w:r>
        <w:rPr>
          <w:rFonts w:hint="eastAsia"/>
          <w:lang w:eastAsia="zh-CN" w:bidi="ar-SA"/>
        </w:rPr>
        <w:drawing>
          <wp:inline distT="0" distB="0" distL="0" distR="0">
            <wp:extent cx="5274310" cy="1466850"/>
            <wp:effectExtent l="0" t="0" r="0" b="19050"/>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pPr>
        <w:numPr>
          <w:ilvl w:val="0"/>
          <w:numId w:val="4"/>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B31项目产出(20.00分)</w:t>
      </w:r>
    </w:p>
    <w:p>
      <w:pPr>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295900" cy="1666875"/>
            <wp:effectExtent l="0" t="0" r="19050" b="0"/>
            <wp:docPr id="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pPr>
        <w:numPr>
          <w:ilvl w:val="0"/>
          <w:numId w:val="5"/>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C311产出数量(5.00分)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产出数量衡量建成后是否完成47,064.43平方米的建筑面积、是否完成7095.70平方米的绿化面积以及是否完成490个停车位的建设。评价组认为该项目正在建设中，尚未进行竣工验收，而所需的佐证需要自竣工验收后才能体现。现阶段无法衡量该项目的工程质量达标率。</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按照评分标准及绩效评价局限性，该项指标得5.00分。</w:t>
      </w:r>
    </w:p>
    <w:p>
      <w:pPr>
        <w:numPr>
          <w:ilvl w:val="0"/>
          <w:numId w:val="5"/>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C312产出质量(5.00分)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产出质量主要考核项目完工后，项目各标段验收合格率是否达到100%。评价组认为项目正在建设中，尚未进行竣工验收，而所需的佐证需要自竣工验收后才能体现。现阶段无法衡量该项目的工程质量达标率。</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按照评分标准及绩效评价局限性，该项指标得5.00分。</w:t>
      </w:r>
    </w:p>
    <w:p>
      <w:pPr>
        <w:numPr>
          <w:ilvl w:val="255"/>
          <w:numId w:val="0"/>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（3）C313产出成本(5.00分)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产出成本主要评价项目经费使用是否遵循“节约使用资金，提高使用效益”的原则，项目施工过程中是否能够实现有效的成本控制和监管。</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评价组认为项目绩效评价中政务中心建设项目正处在建设中，尚未进行竣工验收，而所需的佐证需要自竣工验收后才能体现，现阶段无法衡量该项目的工程产出成本。</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按照评分标准及绩效评价局限性，该项指标得5.00分。</w:t>
      </w:r>
    </w:p>
    <w:p>
      <w:pPr>
        <w:numPr>
          <w:ilvl w:val="255"/>
          <w:numId w:val="0"/>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（4）C314产出时效(5.00分)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产出时效考核项目开工率和项目完工率是否达到100%。项目开工率=（项目开工数量/总项目数量）*100%。评价组通过对现场资料核查以及对各项目实施单位交回的资料整理分析后发现，项目于06月中旬正式开工。评价组认为项目正处在建设中，尚未进行竣工验收，而所需的佐证需要自竣工验收后才能体现，现阶段无法衡量该项目的完工率。</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按照评分标准及绩效评价局限性，该项指标得5.00分。</w:t>
      </w:r>
    </w:p>
    <w:p>
      <w:pPr>
        <w:numPr>
          <w:ilvl w:val="0"/>
          <w:numId w:val="4"/>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B32项目效果(30.00分)</w:t>
      </w:r>
    </w:p>
    <w:p>
      <w:pPr>
        <w:spacing w:after="0" w:line="480" w:lineRule="auto"/>
        <w:ind w:firstLine="560" w:firstLineChars="200"/>
        <w:jc w:val="both"/>
        <w:rPr>
          <w:rFonts w:ascii="仿宋" w:hAnsi="仿宋" w:eastAsia="仿宋" w:cs="仿宋"/>
          <w:szCs w:val="28"/>
          <w:lang w:eastAsia="zh-CN"/>
        </w:rPr>
      </w:pPr>
      <w:r>
        <w:rPr>
          <w:lang w:eastAsia="zh-CN" w:bidi="ar-SA"/>
        </w:rPr>
        <w:drawing>
          <wp:inline distT="0" distB="0" distL="0" distR="0">
            <wp:extent cx="5274310" cy="1659890"/>
            <wp:effectExtent l="0" t="0" r="21590" b="0"/>
            <wp:docPr id="5"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（1）C321社会效益(10.00分)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社会效益衡量项目建成后政务大楼内各行政机关部门是否较之前集中化，协作能力是否增强，能否有效提高办事效率；政务中心能否规范审批运作流程，实施有效监督。评价组认为项目现处于建设阶段，尚未进行竣工验收，而所需的佐证资料需要自竣工验收后项目投入使用至少一个季度时才能体现出社会效益。现阶段无法衡量该项目所产生的社会效益，但评价组依据相关资料纵观后续，项目建设完成投入使用后能产生一定的社会效益。</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按照评分标准及绩效评价局限性，该项指标得10.00分。</w:t>
      </w:r>
    </w:p>
    <w:p>
      <w:pPr>
        <w:numPr>
          <w:ilvl w:val="0"/>
          <w:numId w:val="6"/>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C324可持续影响(10.00分)</w:t>
      </w:r>
    </w:p>
    <w:p>
      <w:pPr>
        <w:tabs>
          <w:tab w:val="left" w:pos="1761"/>
        </w:tabs>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可持续影响指标衡量项目建成后，是否制定了管护制度，是否按期进行巡查，发现问题是否按规定处理。因项目还在施工阶段，尚未正式投入使用，无法评价该项指标。</w:t>
      </w:r>
    </w:p>
    <w:p>
      <w:pPr>
        <w:tabs>
          <w:tab w:val="left" w:pos="1761"/>
        </w:tabs>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按照评分标准及绩效评价局限性，该项指标得10.00分。</w:t>
      </w:r>
    </w:p>
    <w:p>
      <w:pPr>
        <w:numPr>
          <w:ilvl w:val="0"/>
          <w:numId w:val="6"/>
        </w:num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C325服务对象满意度(10.00分)</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该项指标通过问卷调查了解政务服务中心内部员工的满意程度及人民群众的满意程度。评价组根据方案设计确定了政务服务中心内部员工及人民群众满意度调查问卷（详见附件2-1、2-2），由于项目还未进行竣工验收，尚处于设备调试阶段，故暂时不作调查。</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按照评分标准及绩效评价局限性，该项指标得10.00分。</w:t>
      </w:r>
    </w:p>
    <w:tbl>
      <w:tblPr>
        <w:tblStyle w:val="16"/>
        <w:tblpPr w:leftFromText="180" w:rightFromText="180" w:vertAnchor="text" w:horzAnchor="margin" w:tblpY="62"/>
        <w:tblOverlap w:val="never"/>
        <w:tblW w:w="8340" w:type="dxa"/>
        <w:tblInd w:w="0" w:type="dxa"/>
        <w:tblLayout w:type="fixed"/>
        <w:tblCellMar>
          <w:top w:w="17" w:type="dxa"/>
          <w:left w:w="17" w:type="dxa"/>
          <w:bottom w:w="17" w:type="dxa"/>
          <w:right w:w="17" w:type="dxa"/>
        </w:tblCellMar>
      </w:tblPr>
      <w:tblGrid>
        <w:gridCol w:w="2744"/>
        <w:gridCol w:w="1723"/>
        <w:gridCol w:w="1580"/>
        <w:gridCol w:w="2293"/>
      </w:tblGrid>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三级指标</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权重</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得分率</w:t>
            </w:r>
          </w:p>
        </w:tc>
      </w:tr>
      <w:tr>
        <w:tblPrEx>
          <w:tblLayout w:type="fixed"/>
          <w:tblCellMar>
            <w:top w:w="17" w:type="dxa"/>
            <w:left w:w="17" w:type="dxa"/>
            <w:bottom w:w="17" w:type="dxa"/>
            <w:right w:w="17" w:type="dxa"/>
          </w:tblCellMar>
        </w:tblPrEx>
        <w:trPr>
          <w:trHeight w:val="408" w:hRule="atLeast"/>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C311产出数量</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C312产出质量</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C313产出时效</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C314产出成本</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C321社会效益</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C322可持续影响</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C323服务对象满意度</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7" w:type="dxa"/>
            <w:left w:w="17" w:type="dxa"/>
            <w:bottom w:w="17" w:type="dxa"/>
            <w:right w:w="17" w:type="dxa"/>
          </w:tblCellMar>
        </w:tblPrEx>
        <w:trPr>
          <w:tblHeader/>
        </w:trPr>
        <w:tc>
          <w:tcPr>
            <w:tcW w:w="27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项目绩效合计</w:t>
            </w:r>
          </w:p>
        </w:tc>
        <w:tc>
          <w:tcPr>
            <w:tcW w:w="1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bl>
    <w:p>
      <w:pPr>
        <w:pStyle w:val="2"/>
        <w:spacing w:before="300" w:beforeLines="0" w:after="300" w:afterLines="0" w:line="480" w:lineRule="auto"/>
        <w:jc w:val="both"/>
        <w:rPr>
          <w:sz w:val="32"/>
          <w:lang w:eastAsia="zh-CN"/>
        </w:rPr>
      </w:pPr>
      <w:bookmarkStart w:id="134" w:name="_Toc20120"/>
      <w:bookmarkStart w:id="135" w:name="_Toc10767"/>
      <w:bookmarkStart w:id="136" w:name="_Toc24320"/>
      <w:bookmarkStart w:id="137" w:name="_Toc14621"/>
      <w:bookmarkStart w:id="138" w:name="_Toc10939"/>
      <w:r>
        <w:rPr>
          <w:rFonts w:hint="eastAsia"/>
          <w:sz w:val="32"/>
          <w:lang w:eastAsia="zh-CN"/>
        </w:rPr>
        <w:t>六、项目绩效评价</w:t>
      </w:r>
      <w:bookmarkEnd w:id="134"/>
      <w:bookmarkEnd w:id="135"/>
      <w:r>
        <w:rPr>
          <w:rFonts w:hint="eastAsia"/>
          <w:sz w:val="32"/>
          <w:lang w:eastAsia="zh-CN"/>
        </w:rPr>
        <w:t>结论及分析</w:t>
      </w:r>
      <w:bookmarkEnd w:id="136"/>
      <w:bookmarkEnd w:id="137"/>
      <w:bookmarkEnd w:id="138"/>
    </w:p>
    <w:p>
      <w:pPr>
        <w:tabs>
          <w:tab w:val="left" w:pos="1761"/>
        </w:tabs>
        <w:spacing w:after="0" w:line="480" w:lineRule="auto"/>
        <w:ind w:firstLine="560" w:firstLineChars="200"/>
        <w:jc w:val="both"/>
        <w:rPr>
          <w:rFonts w:ascii="仿宋" w:hAnsi="仿宋" w:eastAsia="仿宋" w:cs="仿宋"/>
          <w:szCs w:val="28"/>
          <w:lang w:eastAsia="zh-CN"/>
        </w:rPr>
      </w:pPr>
      <w:bookmarkStart w:id="139" w:name="_Toc2003"/>
      <w:bookmarkStart w:id="140" w:name="_Toc30257"/>
      <w:r>
        <w:rPr>
          <w:rFonts w:hint="eastAsia" w:ascii="仿宋" w:hAnsi="仿宋" w:eastAsia="仿宋" w:cs="仿宋"/>
          <w:szCs w:val="28"/>
          <w:lang w:eastAsia="zh-CN"/>
        </w:rPr>
        <w:t>评价组通过对忻州市政务中心建设项目相关资料的收集，对项目相关实施单位进行实地核查和社会调查，并采用了专家评分的方式，对忻州市政务中心建设项目专项资金的使用情况进行客观公正的评价，最终结论如下：</w:t>
      </w:r>
    </w:p>
    <w:p>
      <w:pPr>
        <w:tabs>
          <w:tab w:val="left" w:pos="1761"/>
        </w:tabs>
        <w:spacing w:after="0" w:line="480" w:lineRule="auto"/>
        <w:ind w:firstLine="560" w:firstLineChars="200"/>
        <w:jc w:val="both"/>
        <w:rPr>
          <w:rFonts w:ascii="仿宋" w:hAnsi="仿宋" w:eastAsia="仿宋" w:cs="仿宋"/>
          <w:szCs w:val="28"/>
          <w:lang w:eastAsia="zh-CN"/>
        </w:rPr>
      </w:pPr>
      <w:bookmarkStart w:id="141" w:name="_Toc16822"/>
      <w:r>
        <w:rPr>
          <w:rFonts w:hint="eastAsia" w:ascii="仿宋" w:hAnsi="仿宋" w:eastAsia="仿宋" w:cs="仿宋"/>
          <w:szCs w:val="28"/>
          <w:lang w:eastAsia="zh-CN"/>
        </w:rPr>
        <w:t>该项目最后得分87.00分，评价等级为良好（见表6-1）。项目具体权重和得分情况见下表（具体评分明细见附件2）：</w:t>
      </w:r>
    </w:p>
    <w:p>
      <w:pPr>
        <w:spacing w:after="0" w:line="480" w:lineRule="auto"/>
        <w:jc w:val="center"/>
        <w:rPr>
          <w:rFonts w:ascii="仿宋" w:hAnsi="仿宋" w:eastAsia="仿宋"/>
          <w:sz w:val="24"/>
          <w:szCs w:val="24"/>
          <w:lang w:eastAsia="zh-CN"/>
        </w:rPr>
      </w:pPr>
      <w:r>
        <w:rPr>
          <w:rFonts w:hint="eastAsia" w:ascii="仿宋" w:hAnsi="仿宋" w:eastAsia="仿宋"/>
          <w:sz w:val="24"/>
          <w:szCs w:val="24"/>
          <w:lang w:eastAsia="zh-CN"/>
        </w:rPr>
        <w:t>表6-1绩效评价评分汇总表</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一级指标</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权重</w:t>
            </w:r>
          </w:p>
        </w:tc>
        <w:tc>
          <w:tcPr>
            <w:tcW w:w="2131"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w:t>
            </w:r>
          </w:p>
        </w:tc>
        <w:tc>
          <w:tcPr>
            <w:tcW w:w="2131"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项目决策</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20.00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项目管理</w:t>
            </w:r>
          </w:p>
        </w:tc>
        <w:tc>
          <w:tcPr>
            <w:tcW w:w="2130" w:type="dxa"/>
            <w:shd w:val="clear" w:color="auto" w:fill="auto"/>
            <w:vAlign w:val="center"/>
          </w:tcPr>
          <w:p>
            <w:pPr>
              <w:widowControl w:val="0"/>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30.00</w:t>
            </w:r>
          </w:p>
        </w:tc>
        <w:tc>
          <w:tcPr>
            <w:tcW w:w="2131" w:type="dxa"/>
            <w:shd w:val="clear" w:color="auto" w:fill="auto"/>
            <w:vAlign w:val="center"/>
          </w:tcPr>
          <w:p>
            <w:pPr>
              <w:widowControl w:val="0"/>
              <w:spacing w:after="0" w:line="36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17.00</w:t>
            </w:r>
          </w:p>
        </w:tc>
        <w:tc>
          <w:tcPr>
            <w:tcW w:w="2131" w:type="dxa"/>
            <w:shd w:val="clear" w:color="auto" w:fill="auto"/>
            <w:vAlign w:val="center"/>
          </w:tcPr>
          <w:p>
            <w:pPr>
              <w:widowControl w:val="0"/>
              <w:spacing w:after="0" w:line="36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56.67%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项目绩效</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50.00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合计</w:t>
            </w:r>
          </w:p>
        </w:tc>
        <w:tc>
          <w:tcPr>
            <w:tcW w:w="2130" w:type="dxa"/>
          </w:tcPr>
          <w:p>
            <w:pPr>
              <w:widowControl/>
              <w:tabs>
                <w:tab w:val="left" w:pos="1761"/>
              </w:tabs>
              <w:spacing w:after="0" w:line="48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87.00</w:t>
            </w:r>
          </w:p>
        </w:tc>
        <w:tc>
          <w:tcPr>
            <w:tcW w:w="2131" w:type="dxa"/>
          </w:tcPr>
          <w:p>
            <w:pPr>
              <w:widowControl/>
              <w:tabs>
                <w:tab w:val="left" w:pos="1761"/>
              </w:tabs>
              <w:spacing w:after="0" w:line="480" w:lineRule="auto"/>
              <w:jc w:val="center"/>
              <w:rPr>
                <w:rFonts w:ascii="仿宋" w:hAnsi="仿宋" w:eastAsia="仿宋" w:cs="仿宋"/>
                <w:sz w:val="24"/>
                <w:szCs w:val="24"/>
                <w:highlight w:val="yellow"/>
                <w:lang w:eastAsia="zh-CN"/>
              </w:rPr>
            </w:pPr>
            <w:r>
              <w:rPr>
                <w:rFonts w:hint="eastAsia" w:ascii="仿宋" w:hAnsi="仿宋" w:eastAsia="仿宋" w:cs="仿宋"/>
                <w:sz w:val="24"/>
                <w:szCs w:val="24"/>
                <w:lang w:eastAsia="zh-CN"/>
              </w:rPr>
              <w:t>87.00%</w:t>
            </w:r>
          </w:p>
        </w:tc>
      </w:tr>
    </w:tbl>
    <w:p>
      <w:pPr>
        <w:tabs>
          <w:tab w:val="left" w:pos="1761"/>
        </w:tabs>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上述评价结果表明，项目决策类指标得分较高，忻州市城乡建设开发有限公司在项目目标、决策程序、资金使用方面做得比较到位。</w:t>
      </w:r>
      <w:r>
        <w:rPr>
          <w:rFonts w:hint="eastAsia" w:ascii="仿宋" w:hAnsi="仿宋" w:eastAsia="仿宋"/>
          <w:szCs w:val="28"/>
          <w:lang w:eastAsia="zh-CN"/>
        </w:rPr>
        <w:t>造成项目管理类指标扣分的主要原因是</w:t>
      </w:r>
      <w:r>
        <w:rPr>
          <w:rFonts w:hint="eastAsia" w:ascii="仿宋" w:hAnsi="仿宋" w:eastAsia="仿宋"/>
          <w:kern w:val="2"/>
          <w:szCs w:val="28"/>
          <w:lang w:eastAsia="zh-CN" w:bidi="ar-SA"/>
        </w:rPr>
        <w:t>忻州市城乡建设开发有限公司未提供相应的财务管理制度、财务监督制度、采购制度；</w:t>
      </w:r>
      <w:r>
        <w:rPr>
          <w:rFonts w:hint="eastAsia" w:ascii="仿宋" w:hAnsi="仿宋" w:eastAsia="仿宋" w:cs="仿宋"/>
          <w:szCs w:val="28"/>
          <w:lang w:eastAsia="zh-CN"/>
        </w:rPr>
        <w:t>由于该项目未完工，项目绩效不能进行评价，所以评价组本着谨慎性的原则未对该项指标进行扣分。</w:t>
      </w:r>
    </w:p>
    <w:p>
      <w:pPr>
        <w:pStyle w:val="2"/>
        <w:spacing w:before="300" w:beforeLines="0" w:after="300" w:afterLines="0" w:line="480" w:lineRule="auto"/>
        <w:jc w:val="both"/>
        <w:rPr>
          <w:sz w:val="32"/>
          <w:lang w:eastAsia="zh-CN"/>
        </w:rPr>
      </w:pPr>
      <w:bookmarkStart w:id="142" w:name="_Toc18698"/>
      <w:bookmarkStart w:id="143" w:name="_Toc27701"/>
      <w:r>
        <w:rPr>
          <w:rFonts w:hint="eastAsia"/>
          <w:sz w:val="32"/>
          <w:lang w:eastAsia="zh-CN"/>
        </w:rPr>
        <w:t>七、</w:t>
      </w:r>
      <w:bookmarkEnd w:id="139"/>
      <w:bookmarkEnd w:id="140"/>
      <w:r>
        <w:rPr>
          <w:rFonts w:hint="eastAsia"/>
          <w:sz w:val="32"/>
          <w:lang w:eastAsia="zh-CN"/>
        </w:rPr>
        <w:t>其他需要说明及存在的问题</w:t>
      </w:r>
      <w:bookmarkEnd w:id="141"/>
      <w:bookmarkEnd w:id="142"/>
      <w:bookmarkEnd w:id="143"/>
    </w:p>
    <w:p>
      <w:pPr>
        <w:pStyle w:val="3"/>
        <w:spacing w:before="200" w:after="200" w:line="480" w:lineRule="auto"/>
        <w:jc w:val="both"/>
        <w:rPr>
          <w:lang w:eastAsia="zh-CN"/>
        </w:rPr>
      </w:pPr>
      <w:bookmarkStart w:id="144" w:name="_Toc13547"/>
      <w:bookmarkStart w:id="145" w:name="_Toc25997"/>
      <w:bookmarkStart w:id="146" w:name="_Toc12979"/>
      <w:bookmarkStart w:id="147" w:name="_Toc26416"/>
      <w:bookmarkStart w:id="148" w:name="_Toc17812"/>
      <w:r>
        <w:rPr>
          <w:rFonts w:hint="eastAsia"/>
          <w:lang w:eastAsia="zh-CN"/>
        </w:rPr>
        <w:t>（一）</w:t>
      </w:r>
      <w:bookmarkEnd w:id="144"/>
      <w:bookmarkEnd w:id="145"/>
      <w:r>
        <w:rPr>
          <w:rFonts w:hint="eastAsia"/>
          <w:lang w:eastAsia="zh-CN"/>
        </w:rPr>
        <w:t>评价局限性</w:t>
      </w:r>
      <w:bookmarkEnd w:id="146"/>
      <w:bookmarkEnd w:id="147"/>
      <w:bookmarkEnd w:id="148"/>
    </w:p>
    <w:p>
      <w:pPr>
        <w:tabs>
          <w:tab w:val="left" w:pos="1761"/>
        </w:tabs>
        <w:spacing w:line="480" w:lineRule="auto"/>
        <w:ind w:firstLine="560" w:firstLineChars="200"/>
        <w:rPr>
          <w:rFonts w:ascii="仿宋" w:hAnsi="仿宋" w:eastAsia="仿宋"/>
          <w:kern w:val="2"/>
          <w:szCs w:val="28"/>
          <w:lang w:eastAsia="zh-CN" w:bidi="ar-SA"/>
        </w:rPr>
      </w:pPr>
      <w:bookmarkStart w:id="149" w:name="_Toc4480"/>
      <w:bookmarkStart w:id="150" w:name="_Toc18656"/>
      <w:bookmarkStart w:id="151" w:name="_Toc27092"/>
      <w:r>
        <w:rPr>
          <w:rFonts w:hint="eastAsia" w:ascii="仿宋" w:hAnsi="仿宋" w:eastAsia="仿宋"/>
          <w:kern w:val="2"/>
          <w:szCs w:val="28"/>
          <w:lang w:eastAsia="zh-CN" w:bidi="ar-SA"/>
        </w:rPr>
        <w:t>因受本次评价时间的限制，截至报告出具日2018年02月26日,忻州市城乡建设开发有限公司</w:t>
      </w:r>
      <w:r>
        <w:rPr>
          <w:rFonts w:hint="eastAsia" w:ascii="仿宋" w:hAnsi="仿宋" w:eastAsia="仿宋"/>
          <w:szCs w:val="28"/>
          <w:lang w:eastAsia="zh-CN"/>
        </w:rPr>
        <w:t>政务中心建设项目</w:t>
      </w:r>
      <w:r>
        <w:rPr>
          <w:rFonts w:hint="eastAsia" w:ascii="仿宋" w:hAnsi="仿宋" w:eastAsia="仿宋"/>
          <w:kern w:val="2"/>
          <w:szCs w:val="28"/>
          <w:lang w:eastAsia="zh-CN" w:bidi="ar-SA"/>
        </w:rPr>
        <w:t>尚处于施工阶段，未进行竣工验收，故本次评价组对绩效评价指标中不适用的指标暂不进行扣分。该项目不扣分的指标有：C311、C312、C313、C314、C321、C322、C323。由于不扣分项目的影响，将导致最终评分虚高。</w:t>
      </w:r>
    </w:p>
    <w:p>
      <w:pPr>
        <w:pStyle w:val="3"/>
        <w:spacing w:before="0" w:after="0" w:line="480" w:lineRule="auto"/>
        <w:jc w:val="both"/>
        <w:rPr>
          <w:lang w:eastAsia="zh-CN"/>
        </w:rPr>
      </w:pPr>
      <w:bookmarkStart w:id="152" w:name="_Toc22304"/>
      <w:bookmarkStart w:id="153" w:name="_Toc15943"/>
      <w:r>
        <w:rPr>
          <w:rFonts w:hint="eastAsia"/>
          <w:lang w:eastAsia="zh-CN"/>
        </w:rPr>
        <w:t>（二）存在的问题</w:t>
      </w:r>
      <w:bookmarkEnd w:id="149"/>
      <w:bookmarkEnd w:id="150"/>
      <w:bookmarkEnd w:id="151"/>
      <w:bookmarkEnd w:id="152"/>
      <w:bookmarkEnd w:id="153"/>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1.档案管理不严格</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档案是具有保存考究价值的资料，是所有历史记录的见证，最能反映历史事实。档案是在各项工作开展过程中形成的，是考察工作完成质量的凭证。档案管理的最终目的是便于资料利用，维护档案的真实性及全面性极其重要。评价组经过对获取的资料进行分析，并通过现场核实，忻州市政务中心建设项目的立项过程严格遵循国家、省、市各级政府的有关文件和会议精神，但是在项目建设过程中缺少相关的档案管理制度及监督管理制度，致使档案管理混乱，部分档案缺失，且未能将档案资料分类归档，影响了资料查阅的完整及便捷。其中缺少的档案资料为建设项目实施前的资金请示文件、技术鉴定资料以及部门年度工作计划等。</w:t>
      </w:r>
    </w:p>
    <w:p>
      <w:pPr>
        <w:keepNext/>
        <w:keepLines/>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2.财务机制不健全</w:t>
      </w:r>
    </w:p>
    <w:p>
      <w:pPr>
        <w:spacing w:after="0" w:line="480" w:lineRule="auto"/>
        <w:ind w:firstLine="560" w:firstLineChars="200"/>
        <w:jc w:val="both"/>
        <w:rPr>
          <w:rFonts w:ascii="仿宋" w:hAnsi="仿宋" w:eastAsia="仿宋" w:cs="仿宋"/>
          <w:szCs w:val="28"/>
          <w:highlight w:val="yellow"/>
          <w:lang w:eastAsia="zh-CN"/>
        </w:rPr>
      </w:pPr>
      <w:r>
        <w:rPr>
          <w:rFonts w:hint="eastAsia" w:ascii="仿宋" w:hAnsi="仿宋" w:eastAsia="仿宋" w:cs="仿宋"/>
          <w:kern w:val="2"/>
          <w:szCs w:val="28"/>
          <w:lang w:eastAsia="zh-CN" w:bidi="ar-SA"/>
        </w:rPr>
        <w:t>忻州市城乡建设开发有限公司未提供相应的财务管理制度、财务监督制度、采购制度。在</w:t>
      </w:r>
      <w:r>
        <w:rPr>
          <w:rFonts w:hint="eastAsia" w:ascii="仿宋" w:hAnsi="仿宋" w:eastAsia="仿宋" w:cs="仿宋"/>
          <w:szCs w:val="28"/>
          <w:lang w:eastAsia="zh-CN"/>
        </w:rPr>
        <w:t>缺乏有效的财务管理及监督制度事中检查及事后监管的情况下，容易使得资金的运行和使用没有明确的依据和规范。缺少成本控制与采购制度容易造成支出不合理，超出控制价，不能保质保量的完成建设任务。</w:t>
      </w:r>
    </w:p>
    <w:p>
      <w:pPr>
        <w:pStyle w:val="3"/>
        <w:spacing w:before="200" w:after="200" w:line="480" w:lineRule="auto"/>
        <w:jc w:val="both"/>
        <w:rPr>
          <w:lang w:eastAsia="zh-CN"/>
        </w:rPr>
      </w:pPr>
      <w:bookmarkStart w:id="154" w:name="_Toc2696"/>
      <w:bookmarkStart w:id="155" w:name="_Toc27438"/>
      <w:bookmarkStart w:id="156" w:name="_Toc32691"/>
      <w:bookmarkStart w:id="157" w:name="_Toc26326"/>
      <w:bookmarkStart w:id="158" w:name="_Toc19101"/>
      <w:r>
        <w:rPr>
          <w:rFonts w:hint="eastAsia"/>
          <w:lang w:eastAsia="zh-CN"/>
        </w:rPr>
        <w:t>（三）建议</w:t>
      </w:r>
      <w:bookmarkEnd w:id="154"/>
      <w:bookmarkEnd w:id="155"/>
      <w:bookmarkEnd w:id="156"/>
      <w:bookmarkEnd w:id="157"/>
      <w:bookmarkEnd w:id="158"/>
    </w:p>
    <w:p>
      <w:pPr>
        <w:spacing w:after="0" w:line="480" w:lineRule="auto"/>
        <w:ind w:firstLine="560" w:firstLineChars="200"/>
        <w:jc w:val="both"/>
        <w:rPr>
          <w:rFonts w:ascii="仿宋" w:hAnsi="仿宋" w:eastAsia="仿宋"/>
          <w:color w:val="000000" w:themeColor="text1"/>
          <w:kern w:val="2"/>
          <w:szCs w:val="28"/>
          <w:lang w:eastAsia="zh-CN"/>
          <w14:textFill>
            <w14:solidFill>
              <w14:schemeClr w14:val="tx1"/>
            </w14:solidFill>
          </w14:textFill>
        </w:rPr>
      </w:pPr>
      <w:r>
        <w:rPr>
          <w:rFonts w:hint="eastAsia" w:ascii="仿宋" w:hAnsi="仿宋" w:eastAsia="仿宋"/>
          <w:kern w:val="2"/>
          <w:szCs w:val="28"/>
          <w:lang w:eastAsia="zh-CN"/>
        </w:rPr>
        <w:t>1.</w:t>
      </w:r>
      <w:r>
        <w:rPr>
          <w:rFonts w:hint="eastAsia" w:ascii="仿宋" w:hAnsi="仿宋" w:eastAsia="仿宋"/>
          <w:color w:val="000000" w:themeColor="text1"/>
          <w:kern w:val="2"/>
          <w:szCs w:val="28"/>
          <w:lang w:eastAsia="zh-CN"/>
          <w14:textFill>
            <w14:solidFill>
              <w14:schemeClr w14:val="tx1"/>
            </w14:solidFill>
          </w14:textFill>
        </w:rPr>
        <w:t>提高对档案管理的重视</w:t>
      </w:r>
    </w:p>
    <w:p>
      <w:pPr>
        <w:spacing w:after="0" w:line="480" w:lineRule="auto"/>
        <w:ind w:firstLine="560" w:firstLineChars="200"/>
        <w:jc w:val="both"/>
        <w:rPr>
          <w:rFonts w:ascii="仿宋" w:hAnsi="仿宋" w:eastAsia="仿宋"/>
          <w:kern w:val="2"/>
          <w:szCs w:val="28"/>
          <w:lang w:eastAsia="zh-CN"/>
        </w:rPr>
      </w:pPr>
      <w:r>
        <w:rPr>
          <w:rFonts w:hint="eastAsia" w:ascii="仿宋" w:hAnsi="仿宋" w:eastAsia="仿宋"/>
          <w:color w:val="000000" w:themeColor="text1"/>
          <w:kern w:val="2"/>
          <w:szCs w:val="28"/>
          <w:lang w:eastAsia="zh-CN"/>
          <w14:textFill>
            <w14:solidFill>
              <w14:schemeClr w14:val="tx1"/>
            </w14:solidFill>
          </w14:textFill>
        </w:rPr>
        <w:t>建议项目实施单位提高对档案管理的重视，建立健全档案管理制度、财务管理制度、合同管理制度以及监督管理制度；制定或明确所依据的专门档案管理文件，指定专门科室专门人员进行管理；在项目建设期间做好档案资料的管护与交接，在项目工程完成后做好档案资料的整理和存放；加强与各相关单位之间的沟通，严格按照制度要求移交档案并仔细整理后保管；完善档案存放设施。</w:t>
      </w:r>
    </w:p>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2.建立健全财务机制</w:t>
      </w:r>
    </w:p>
    <w:p>
      <w:pPr>
        <w:spacing w:after="0" w:line="480" w:lineRule="auto"/>
        <w:ind w:firstLine="560" w:firstLineChars="200"/>
        <w:jc w:val="both"/>
        <w:rPr>
          <w:rFonts w:ascii="仿宋" w:hAnsi="仿宋" w:eastAsia="仿宋"/>
          <w:kern w:val="2"/>
          <w:szCs w:val="28"/>
          <w:lang w:eastAsia="zh-CN" w:bidi="ar-SA"/>
        </w:rPr>
      </w:pPr>
      <w:r>
        <w:rPr>
          <w:rFonts w:hint="eastAsia" w:ascii="仿宋" w:hAnsi="仿宋" w:eastAsia="仿宋"/>
          <w:kern w:val="2"/>
          <w:szCs w:val="28"/>
          <w:lang w:eastAsia="zh-CN" w:bidi="ar-SA"/>
        </w:rPr>
        <w:t>建议被评价相关单位加强财务人员专业水平培养，健全财务管理监管制度和成本控制与采购制度，适时进行内部审计，使支出合理合规，采购成本价控制在合理范围内，最大程度的利用好政府拨款。</w:t>
      </w:r>
    </w:p>
    <w:p>
      <w:pPr>
        <w:spacing w:after="0" w:line="480" w:lineRule="auto"/>
        <w:jc w:val="both"/>
        <w:rPr>
          <w:rFonts w:ascii="仿宋" w:hAnsi="仿宋" w:eastAsia="仿宋"/>
          <w:kern w:val="2"/>
          <w:szCs w:val="28"/>
          <w:lang w:eastAsia="zh-CN" w:bidi="ar-SA"/>
        </w:rPr>
      </w:pPr>
    </w:p>
    <w:p>
      <w:pPr>
        <w:spacing w:after="0" w:line="480" w:lineRule="auto"/>
        <w:jc w:val="both"/>
        <w:rPr>
          <w:rFonts w:ascii="仿宋" w:hAnsi="仿宋" w:eastAsia="仿宋"/>
          <w:kern w:val="2"/>
          <w:szCs w:val="28"/>
          <w:lang w:eastAsia="zh-CN" w:bidi="ar-SA"/>
        </w:rPr>
      </w:pPr>
    </w:p>
    <w:p>
      <w:pPr>
        <w:spacing w:line="480" w:lineRule="auto"/>
        <w:ind w:firstLine="560" w:firstLineChars="200"/>
        <w:jc w:val="right"/>
        <w:rPr>
          <w:rFonts w:ascii="仿宋" w:hAnsi="仿宋" w:eastAsia="仿宋" w:cs="仿宋"/>
          <w:bCs/>
          <w:szCs w:val="28"/>
          <w:lang w:eastAsia="zh-CN"/>
        </w:rPr>
      </w:pPr>
      <w:r>
        <w:rPr>
          <w:rFonts w:hint="eastAsia"/>
        </w:rPr>
        <w:drawing>
          <wp:anchor distT="0" distB="0" distL="114300" distR="114300" simplePos="0" relativeHeight="251661312" behindDoc="0" locked="0" layoutInCell="1" allowOverlap="1">
            <wp:simplePos x="0" y="0"/>
            <wp:positionH relativeFrom="column">
              <wp:posOffset>3512185</wp:posOffset>
            </wp:positionH>
            <wp:positionV relativeFrom="paragraph">
              <wp:posOffset>144780</wp:posOffset>
            </wp:positionV>
            <wp:extent cx="1619885" cy="1619885"/>
            <wp:effectExtent l="26035" t="6985" r="30480" b="30480"/>
            <wp:wrapNone/>
            <wp:docPr id="13" name="图片 13" descr="微信图片_20180309171518"/>
            <wp:cNvGraphicFramePr/>
            <a:graphic xmlns:a="http://schemas.openxmlformats.org/drawingml/2006/main">
              <a:graphicData uri="http://schemas.openxmlformats.org/drawingml/2006/picture">
                <pic:pic xmlns:pic="http://schemas.openxmlformats.org/drawingml/2006/picture">
                  <pic:nvPicPr>
                    <pic:cNvPr id="13" name="图片 13" descr="微信图片_20180309171518"/>
                    <pic:cNvPicPr/>
                  </pic:nvPicPr>
                  <pic:blipFill>
                    <a:blip r:embed="rId10">
                      <a:clrChange>
                        <a:clrFrom>
                          <a:srgbClr val="FEFAF9">
                            <a:alpha val="100000"/>
                          </a:srgbClr>
                        </a:clrFrom>
                        <a:clrTo>
                          <a:srgbClr val="FEFAF9">
                            <a:alpha val="100000"/>
                            <a:alpha val="0"/>
                          </a:srgbClr>
                        </a:clrTo>
                      </a:clrChange>
                    </a:blip>
                    <a:srcRect t="4116"/>
                    <a:stretch>
                      <a:fillRect/>
                    </a:stretch>
                  </pic:blipFill>
                  <pic:spPr>
                    <a:xfrm rot="660000">
                      <a:off x="0" y="0"/>
                      <a:ext cx="1619885" cy="1619885"/>
                    </a:xfrm>
                    <a:prstGeom prst="rect">
                      <a:avLst/>
                    </a:prstGeom>
                  </pic:spPr>
                </pic:pic>
              </a:graphicData>
            </a:graphic>
          </wp:anchor>
        </w:drawing>
      </w:r>
      <w:r>
        <w:rPr>
          <w:rFonts w:hint="eastAsia" w:ascii="仿宋" w:hAnsi="仿宋" w:eastAsia="仿宋" w:cs="仿宋"/>
          <w:bCs/>
          <w:szCs w:val="28"/>
          <w:lang w:eastAsia="zh-CN" w:bidi="ar"/>
        </w:rPr>
        <w:t>山西国元会计师事务所（有限公司）</w:t>
      </w:r>
    </w:p>
    <w:p>
      <w:pPr>
        <w:spacing w:line="480" w:lineRule="auto"/>
        <w:ind w:firstLine="560" w:firstLineChars="200"/>
        <w:jc w:val="right"/>
        <w:rPr>
          <w:rFonts w:hint="eastAsia" w:ascii="仿宋" w:hAnsi="仿宋" w:eastAsia="仿宋" w:cs="仿宋"/>
          <w:bCs/>
          <w:szCs w:val="28"/>
          <w:lang w:eastAsia="zh-CN" w:bidi="ar"/>
        </w:rPr>
      </w:pPr>
      <w:r>
        <w:rPr>
          <w:rFonts w:hint="eastAsia" w:ascii="仿宋" w:hAnsi="仿宋" w:eastAsia="仿宋" w:cs="仿宋"/>
          <w:bCs/>
          <w:szCs w:val="28"/>
          <w:lang w:eastAsia="zh-CN" w:bidi="ar"/>
        </w:rPr>
        <w:t>2018年3月</w:t>
      </w:r>
      <w:r>
        <w:rPr>
          <w:rFonts w:ascii="仿宋" w:hAnsi="仿宋" w:eastAsia="仿宋" w:cs="仿宋"/>
          <w:bCs/>
          <w:szCs w:val="28"/>
          <w:lang w:eastAsia="zh-CN" w:bidi="ar"/>
        </w:rPr>
        <w:t>9</w:t>
      </w:r>
      <w:r>
        <w:rPr>
          <w:rFonts w:hint="eastAsia" w:ascii="仿宋" w:hAnsi="仿宋" w:eastAsia="仿宋" w:cs="仿宋"/>
          <w:bCs/>
          <w:szCs w:val="28"/>
          <w:lang w:eastAsia="zh-CN" w:bidi="ar"/>
        </w:rPr>
        <w:t>日</w:t>
      </w:r>
    </w:p>
    <w:p>
      <w:pPr>
        <w:spacing w:line="480" w:lineRule="auto"/>
        <w:ind w:firstLine="560" w:firstLineChars="200"/>
        <w:jc w:val="right"/>
        <w:rPr>
          <w:rFonts w:hint="eastAsia" w:ascii="仿宋" w:hAnsi="仿宋" w:eastAsia="仿宋" w:cs="仿宋"/>
          <w:bCs/>
          <w:szCs w:val="28"/>
          <w:lang w:eastAsia="zh-CN" w:bidi="ar"/>
        </w:rPr>
      </w:pPr>
    </w:p>
    <w:p>
      <w:pPr>
        <w:spacing w:line="480" w:lineRule="auto"/>
        <w:ind w:firstLine="560" w:firstLineChars="200"/>
        <w:jc w:val="right"/>
        <w:rPr>
          <w:rFonts w:hint="eastAsia" w:ascii="仿宋" w:hAnsi="仿宋" w:eastAsia="仿宋" w:cs="仿宋"/>
          <w:bCs/>
          <w:szCs w:val="28"/>
          <w:lang w:eastAsia="zh-CN" w:bidi="ar"/>
        </w:rPr>
      </w:pPr>
    </w:p>
    <w:bookmarkEnd w:id="64"/>
    <w:bookmarkEnd w:id="65"/>
    <w:bookmarkEnd w:id="66"/>
    <w:bookmarkEnd w:id="70"/>
    <w:bookmarkEnd w:id="71"/>
    <w:bookmarkEnd w:id="72"/>
    <w:bookmarkEnd w:id="73"/>
    <w:p>
      <w:pPr>
        <w:pStyle w:val="2"/>
        <w:spacing w:before="31" w:after="31" w:line="480" w:lineRule="auto"/>
        <w:rPr>
          <w:lang w:eastAsia="zh-CN"/>
        </w:rPr>
        <w:sectPr>
          <w:footerReference r:id="rId7" w:type="default"/>
          <w:pgSz w:w="11906" w:h="16838"/>
          <w:pgMar w:top="1440" w:right="1800" w:bottom="1440" w:left="1800" w:header="851" w:footer="992" w:gutter="0"/>
          <w:cols w:space="425" w:num="1"/>
          <w:docGrid w:type="lines" w:linePitch="312" w:charSpace="0"/>
        </w:sectPr>
      </w:pPr>
    </w:p>
    <w:p>
      <w:pPr>
        <w:pStyle w:val="2"/>
        <w:spacing w:before="31" w:after="31"/>
        <w:rPr>
          <w:rFonts w:asciiTheme="majorEastAsia" w:hAnsiTheme="majorEastAsia" w:eastAsiaTheme="majorEastAsia" w:cstheme="majorEastAsia"/>
          <w:lang w:eastAsia="zh-CN"/>
        </w:rPr>
      </w:pPr>
      <w:bookmarkStart w:id="159" w:name="_Toc14759"/>
      <w:bookmarkStart w:id="160" w:name="_Toc13419"/>
      <w:bookmarkStart w:id="161" w:name="_Toc1676"/>
      <w:r>
        <w:rPr>
          <w:rFonts w:hint="eastAsia" w:asciiTheme="majorEastAsia" w:hAnsiTheme="majorEastAsia" w:eastAsiaTheme="majorEastAsia" w:cstheme="majorEastAsia"/>
          <w:lang w:eastAsia="zh-CN"/>
        </w:rPr>
        <w:t>附件1：调查问卷（样卷）</w:t>
      </w:r>
      <w:bookmarkEnd w:id="159"/>
    </w:p>
    <w:p>
      <w:pPr>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附件1-1：</w:t>
      </w:r>
    </w:p>
    <w:p>
      <w:pPr>
        <w:spacing w:after="0" w:line="480" w:lineRule="auto"/>
        <w:ind w:firstLine="482" w:firstLineChars="200"/>
        <w:jc w:val="center"/>
        <w:rPr>
          <w:rFonts w:ascii="仿宋" w:hAnsi="仿宋" w:eastAsia="仿宋" w:cs="仿宋"/>
          <w:b/>
          <w:bCs/>
          <w:sz w:val="24"/>
          <w:szCs w:val="24"/>
          <w:lang w:eastAsia="zh-CN"/>
        </w:rPr>
      </w:pPr>
      <w:r>
        <w:rPr>
          <w:rFonts w:hint="eastAsia" w:ascii="仿宋" w:hAnsi="仿宋" w:eastAsia="仿宋" w:cs="仿宋"/>
          <w:b/>
          <w:bCs/>
          <w:sz w:val="24"/>
          <w:szCs w:val="24"/>
          <w:lang w:eastAsia="zh-CN"/>
        </w:rPr>
        <w:t>忻州市政务服务中心业务用房建设工程绩效评价项目</w:t>
      </w:r>
    </w:p>
    <w:p>
      <w:pPr>
        <w:spacing w:after="0" w:line="480" w:lineRule="auto"/>
        <w:ind w:firstLine="482" w:firstLineChars="200"/>
        <w:jc w:val="center"/>
        <w:rPr>
          <w:rFonts w:ascii="仿宋" w:hAnsi="仿宋" w:eastAsia="仿宋" w:cs="仿宋"/>
          <w:b/>
          <w:bCs/>
          <w:sz w:val="24"/>
          <w:szCs w:val="24"/>
          <w:lang w:eastAsia="zh-CN"/>
        </w:rPr>
      </w:pPr>
      <w:r>
        <w:rPr>
          <w:rFonts w:hint="eastAsia" w:ascii="仿宋" w:hAnsi="仿宋" w:eastAsia="仿宋" w:cs="仿宋"/>
          <w:b/>
          <w:bCs/>
          <w:sz w:val="24"/>
          <w:szCs w:val="24"/>
          <w:lang w:eastAsia="zh-CN"/>
        </w:rPr>
        <w:t>工作人员满意度调查问卷（样卷）</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尊敬的先生/女士：</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您好，我们是忻州市财政投资评审中心组织并委托参与“忻州市政务服务中心业务用房建设工程绩效评价项目”的工作人员，为全面了解忻州市政务服务中心业务用房建设工程的实际情况，客观公正的对评价绩效情况，以及广大群众对政务中心的满意度情况，特设计本问卷，敬请如实填写以下问卷，选出相应问题的答案，感谢您对我们工作的支持。</w:t>
      </w:r>
    </w:p>
    <w:p>
      <w:pPr>
        <w:spacing w:after="0" w:line="480" w:lineRule="auto"/>
        <w:ind w:firstLine="480" w:firstLineChars="200"/>
        <w:jc w:val="right"/>
        <w:rPr>
          <w:rFonts w:ascii="仿宋" w:hAnsi="仿宋" w:eastAsia="仿宋" w:cs="仿宋"/>
          <w:sz w:val="24"/>
          <w:szCs w:val="24"/>
          <w:lang w:eastAsia="zh-CN"/>
        </w:rPr>
      </w:pPr>
      <w:r>
        <w:rPr>
          <w:rFonts w:hint="eastAsia" w:ascii="仿宋" w:hAnsi="仿宋" w:eastAsia="仿宋" w:cs="仿宋"/>
          <w:sz w:val="24"/>
          <w:szCs w:val="24"/>
          <w:lang w:eastAsia="zh-CN"/>
        </w:rPr>
        <w:t>绩效评价组</w:t>
      </w:r>
    </w:p>
    <w:p>
      <w:pPr>
        <w:spacing w:after="0" w:line="480" w:lineRule="auto"/>
        <w:ind w:firstLine="480" w:firstLineChars="200"/>
        <w:jc w:val="right"/>
        <w:rPr>
          <w:rFonts w:ascii="仿宋" w:hAnsi="仿宋" w:eastAsia="仿宋" w:cs="仿宋"/>
          <w:sz w:val="24"/>
          <w:szCs w:val="24"/>
          <w:lang w:eastAsia="zh-CN"/>
        </w:rPr>
      </w:pPr>
      <w:r>
        <w:rPr>
          <w:rFonts w:hint="eastAsia" w:ascii="仿宋" w:hAnsi="仿宋" w:eastAsia="仿宋" w:cs="仿宋"/>
          <w:sz w:val="24"/>
          <w:szCs w:val="24"/>
          <w:lang w:eastAsia="zh-CN"/>
        </w:rPr>
        <w:t>2018年</w:t>
      </w:r>
    </w:p>
    <w:p>
      <w:pPr>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一、您的基本情况（根据实际情况勾选即可）</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1.您的性别：</w:t>
      </w:r>
    </w:p>
    <w:p>
      <w:pPr>
        <w:numPr>
          <w:ilvl w:val="0"/>
          <w:numId w:val="7"/>
        </w:numPr>
        <w:tabs>
          <w:tab w:val="clear" w:pos="312"/>
        </w:tabs>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男                        B.女</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2.您的年龄段：</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 xml:space="preserve">A.35周岁及以下               B.36-45周岁  </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C.46-55周岁                  D.56周岁及以上</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3.您的在职时间：</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A.4年以内（含4年）          B.4年以上</w:t>
      </w:r>
    </w:p>
    <w:p>
      <w:pPr>
        <w:widowControl w:val="0"/>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二、满意度问题（根据实际情况勾选即可，每个题选一个答案）</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1.您认为新建的政务大厅对加强各部门之间的协作有没有影响？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2.您认为新建的政务服务大厅对提高办事效率有没有影响？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3.您认为入驻政务服务大厅后，对提高您的工作效率有没有影响？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4.您对新建的政务服务中心的办公环境是否满意？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C.基本满意   D.不满意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5.您认为新建的政务服务中心对实现政务公开有没有影响？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6.您认为政务服务中心的建设对自身服务意识的提高有没有影响？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7.您认为政务中心建成后，对行政办事流程有没有影响？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8.您认为政务中心建成后，对预防和遏制腐败有没有影响？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9.您认为新建的政务服务大厅对提升政府形象有没有影响？</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A.影响非常大 B.影响比较大 C.有一定影响 D.影响非常小 E.没有影响</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10.您对新建设的政务服务中心的整体效果是否满意？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C.基本满意   D.不满意     E.非常不满意</w:t>
      </w:r>
    </w:p>
    <w:p>
      <w:pPr>
        <w:widowControl w:val="0"/>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三、意见和建议</w:t>
      </w:r>
    </w:p>
    <w:p>
      <w:pPr>
        <w:widowControl w:val="0"/>
        <w:spacing w:after="0" w:line="480" w:lineRule="auto"/>
        <w:ind w:firstLine="480" w:firstLineChars="200"/>
        <w:jc w:val="both"/>
        <w:rPr>
          <w:rFonts w:ascii="仿宋" w:hAnsi="仿宋" w:eastAsia="仿宋" w:cs="仿宋"/>
          <w:sz w:val="24"/>
          <w:szCs w:val="24"/>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lang w:eastAsia="zh-CN"/>
        </w:rPr>
        <w:t>您对新建的政务服务中心有什么意见和建议。</w:t>
      </w:r>
    </w:p>
    <w:p>
      <w:pPr>
        <w:rPr>
          <w:rFonts w:ascii="仿宋" w:hAnsi="仿宋" w:eastAsia="仿宋" w:cs="仿宋"/>
          <w:b/>
          <w:bCs/>
          <w:sz w:val="24"/>
          <w:szCs w:val="24"/>
          <w:lang w:eastAsia="zh-CN"/>
        </w:rPr>
      </w:pPr>
      <w:r>
        <w:rPr>
          <w:rFonts w:hint="eastAsia" w:ascii="仿宋" w:hAnsi="仿宋" w:eastAsia="仿宋" w:cs="仿宋"/>
          <w:b/>
          <w:bCs/>
          <w:sz w:val="24"/>
          <w:szCs w:val="24"/>
          <w:lang w:eastAsia="zh-CN"/>
        </w:rPr>
        <w:t>附件1-2：</w:t>
      </w:r>
    </w:p>
    <w:p>
      <w:pPr>
        <w:jc w:val="center"/>
        <w:rPr>
          <w:rFonts w:ascii="仿宋" w:hAnsi="仿宋" w:eastAsia="仿宋" w:cs="仿宋"/>
          <w:b/>
          <w:bCs/>
          <w:sz w:val="24"/>
          <w:szCs w:val="24"/>
          <w:lang w:eastAsia="zh-CN"/>
        </w:rPr>
      </w:pPr>
      <w:r>
        <w:rPr>
          <w:rFonts w:hint="eastAsia" w:ascii="仿宋" w:hAnsi="仿宋" w:eastAsia="仿宋" w:cs="仿宋"/>
          <w:b/>
          <w:bCs/>
          <w:sz w:val="24"/>
          <w:szCs w:val="24"/>
          <w:lang w:eastAsia="zh-CN"/>
        </w:rPr>
        <w:t>忻州市政务服务中心业务用房建设工程绩效评价项目</w:t>
      </w:r>
    </w:p>
    <w:p>
      <w:pPr>
        <w:jc w:val="center"/>
        <w:rPr>
          <w:rFonts w:ascii="仿宋" w:hAnsi="仿宋" w:eastAsia="仿宋" w:cs="仿宋"/>
          <w:b/>
          <w:bCs/>
          <w:sz w:val="24"/>
          <w:szCs w:val="24"/>
          <w:lang w:eastAsia="zh-CN"/>
        </w:rPr>
      </w:pPr>
      <w:r>
        <w:rPr>
          <w:rFonts w:hint="eastAsia" w:ascii="仿宋" w:hAnsi="仿宋" w:eastAsia="仿宋" w:cs="仿宋"/>
          <w:b/>
          <w:bCs/>
          <w:sz w:val="24"/>
          <w:szCs w:val="24"/>
          <w:lang w:eastAsia="zh-CN"/>
        </w:rPr>
        <w:t>人民群众满意度调查问卷（样卷）</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尊敬的先生/女士：</w:t>
      </w:r>
    </w:p>
    <w:p>
      <w:pPr>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您好，我们是忻州市财政投资评审中心组织并委托参与“忻州市政务服务中心业务用房建设工程绩效评价项目”的工作人员，为全面了解忻州市政务服务中心业务用房建设工程的实际情况，客观公正的对评价绩效情况，以及广大群众对政务中心的满意度情况，特设计本问卷，敬请如实填写以下问卷，选出相应问题的答案，感谢您对我们工作的支持。</w:t>
      </w:r>
    </w:p>
    <w:p>
      <w:pPr>
        <w:spacing w:after="0" w:line="480" w:lineRule="auto"/>
        <w:ind w:firstLine="480" w:firstLineChars="200"/>
        <w:jc w:val="right"/>
        <w:rPr>
          <w:rFonts w:ascii="仿宋" w:hAnsi="仿宋" w:eastAsia="仿宋" w:cs="仿宋"/>
          <w:sz w:val="24"/>
          <w:szCs w:val="24"/>
          <w:lang w:eastAsia="zh-CN"/>
        </w:rPr>
      </w:pPr>
      <w:r>
        <w:rPr>
          <w:rFonts w:hint="eastAsia" w:ascii="仿宋" w:hAnsi="仿宋" w:eastAsia="仿宋" w:cs="仿宋"/>
          <w:sz w:val="24"/>
          <w:szCs w:val="24"/>
          <w:lang w:eastAsia="zh-CN"/>
        </w:rPr>
        <w:t>绩效评价组</w:t>
      </w:r>
    </w:p>
    <w:p>
      <w:pPr>
        <w:spacing w:after="0" w:line="480" w:lineRule="auto"/>
        <w:ind w:firstLine="480" w:firstLineChars="200"/>
        <w:jc w:val="right"/>
        <w:rPr>
          <w:rFonts w:ascii="仿宋" w:hAnsi="仿宋" w:eastAsia="仿宋" w:cs="仿宋"/>
          <w:sz w:val="24"/>
          <w:szCs w:val="24"/>
          <w:lang w:eastAsia="zh-CN"/>
        </w:rPr>
      </w:pPr>
      <w:r>
        <w:rPr>
          <w:rFonts w:hint="eastAsia" w:ascii="仿宋" w:hAnsi="仿宋" w:eastAsia="仿宋" w:cs="仿宋"/>
          <w:sz w:val="24"/>
          <w:szCs w:val="24"/>
          <w:lang w:eastAsia="zh-CN"/>
        </w:rPr>
        <w:t>2018年</w:t>
      </w:r>
    </w:p>
    <w:p>
      <w:pPr>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一、您的基本情况（根据实际情况勾选即可）</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1.您的姓名_________</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2.您的联系方式__________</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3.您的性别：</w:t>
      </w:r>
    </w:p>
    <w:p>
      <w:pPr>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A.男        B.女</w:t>
      </w:r>
    </w:p>
    <w:p>
      <w:pPr>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4.您的年龄段：</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A.25周岁及以下 B.26-40周岁C.41-55周岁D.56-70周岁E.70周岁以上</w:t>
      </w:r>
    </w:p>
    <w:p>
      <w:pPr>
        <w:widowControl w:val="0"/>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二、满意度调查（根据实际情况勾选即可，每个题选一个答案）</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1.您对新建的政务服务中心的办事流程是否满意？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2.您对该政务中心在履行服务承诺（在承诺的时限内办结业务、履行一次性告知等）方面是否满意？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3.您对该政务中心的服务态度是否满意？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4.您对该政务中心的办事效率是否满意？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5.您对政务服务中心窗口工作人员的咨询回复是否满意？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6.您对各部门在解决“门难进、脸难看、话难听、事难办”等现象方面是否满意？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7.您对该政务中心工作人员履行岗位职责方面是否满意？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8.您对该政务中心政务公开的方式（网站、热线电话、纸质服务指引、流程上墙等）是否满意？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9.您对该政务中心依照法律、法规、规章收费方面是否满意？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sz w:val="24"/>
          <w:szCs w:val="24"/>
          <w:lang w:eastAsia="zh-CN"/>
        </w:rPr>
      </w:pPr>
      <w:r>
        <w:rPr>
          <w:rFonts w:hint="eastAsia" w:ascii="仿宋" w:hAnsi="仿宋" w:eastAsia="仿宋" w:cs="仿宋"/>
          <w:sz w:val="24"/>
          <w:szCs w:val="24"/>
          <w:lang w:eastAsia="zh-CN"/>
        </w:rPr>
        <w:t>10.您对新建设的政务服务中心是否满意？</w:t>
      </w:r>
    </w:p>
    <w:p>
      <w:pPr>
        <w:widowControl w:val="0"/>
        <w:spacing w:after="0" w:line="480" w:lineRule="auto"/>
        <w:ind w:firstLine="480" w:firstLineChars="200"/>
        <w:jc w:val="both"/>
        <w:rPr>
          <w:rFonts w:ascii="仿宋" w:hAnsi="仿宋" w:eastAsia="仿宋" w:cs="仿宋"/>
          <w:sz w:val="24"/>
          <w:szCs w:val="24"/>
          <w:lang w:eastAsia="zh-CN"/>
        </w:rPr>
      </w:pPr>
      <w:r>
        <w:rPr>
          <w:rFonts w:hint="eastAsia" w:ascii="仿宋" w:hAnsi="仿宋" w:eastAsia="仿宋" w:cs="仿宋"/>
          <w:sz w:val="24"/>
          <w:szCs w:val="24"/>
          <w:lang w:eastAsia="zh-CN"/>
        </w:rPr>
        <w:t>A.非常满意 B.比较满意 C. 基本满意 D .不满意 E.非常不满意</w:t>
      </w:r>
    </w:p>
    <w:p>
      <w:pPr>
        <w:widowControl w:val="0"/>
        <w:spacing w:after="0" w:line="480" w:lineRule="auto"/>
        <w:jc w:val="both"/>
        <w:rPr>
          <w:rFonts w:ascii="仿宋" w:hAnsi="仿宋" w:eastAsia="仿宋" w:cs="仿宋"/>
          <w:b/>
          <w:bCs/>
          <w:sz w:val="24"/>
          <w:szCs w:val="24"/>
          <w:lang w:eastAsia="zh-CN"/>
        </w:rPr>
      </w:pPr>
      <w:r>
        <w:rPr>
          <w:rFonts w:hint="eastAsia" w:ascii="仿宋" w:hAnsi="仿宋" w:eastAsia="仿宋" w:cs="仿宋"/>
          <w:b/>
          <w:bCs/>
          <w:sz w:val="24"/>
          <w:szCs w:val="24"/>
          <w:lang w:eastAsia="zh-CN"/>
        </w:rPr>
        <w:t>三、意见和建议</w:t>
      </w:r>
    </w:p>
    <w:p>
      <w:pPr>
        <w:widowControl w:val="0"/>
        <w:spacing w:after="0" w:line="480" w:lineRule="auto"/>
        <w:ind w:firstLine="480" w:firstLineChars="200"/>
        <w:jc w:val="both"/>
        <w:rPr>
          <w:lang w:eastAsia="zh-CN"/>
        </w:rPr>
      </w:pPr>
      <w:r>
        <w:rPr>
          <w:rFonts w:hint="eastAsia" w:ascii="仿宋" w:hAnsi="仿宋" w:eastAsia="仿宋" w:cs="仿宋"/>
          <w:sz w:val="24"/>
          <w:szCs w:val="24"/>
          <w:lang w:eastAsia="zh-CN"/>
        </w:rPr>
        <w:t>您对新建的政务服务大厅有什么意见和建议。</w:t>
      </w:r>
    </w:p>
    <w:p>
      <w:pPr>
        <w:pStyle w:val="2"/>
        <w:spacing w:before="31" w:after="31" w:line="360" w:lineRule="auto"/>
        <w:rPr>
          <w:rFonts w:asciiTheme="majorEastAsia" w:hAnsiTheme="majorEastAsia" w:eastAsiaTheme="majorEastAsia" w:cstheme="majorEastAsia"/>
          <w:sz w:val="32"/>
          <w:szCs w:val="32"/>
          <w:lang w:eastAsia="zh-CN"/>
        </w:rPr>
        <w:sectPr>
          <w:headerReference r:id="rId8" w:type="default"/>
          <w:pgSz w:w="11906" w:h="16838"/>
          <w:pgMar w:top="1440" w:right="1800" w:bottom="1440" w:left="1800" w:header="851" w:footer="992" w:gutter="0"/>
          <w:cols w:space="425" w:num="1"/>
          <w:docGrid w:type="lines" w:linePitch="312" w:charSpace="0"/>
        </w:sectPr>
      </w:pPr>
    </w:p>
    <w:p>
      <w:pPr>
        <w:pStyle w:val="2"/>
        <w:spacing w:before="31" w:after="31" w:line="360" w:lineRule="auto"/>
        <w:rPr>
          <w:rFonts w:asciiTheme="majorEastAsia" w:hAnsiTheme="majorEastAsia" w:eastAsiaTheme="majorEastAsia" w:cstheme="majorEastAsia"/>
          <w:sz w:val="32"/>
          <w:szCs w:val="32"/>
          <w:lang w:eastAsia="zh-CN"/>
        </w:rPr>
      </w:pPr>
      <w:bookmarkStart w:id="162" w:name="_Toc16419"/>
      <w:r>
        <w:rPr>
          <w:rFonts w:hint="eastAsia" w:asciiTheme="majorEastAsia" w:hAnsiTheme="majorEastAsia" w:eastAsiaTheme="majorEastAsia" w:cstheme="majorEastAsia"/>
          <w:sz w:val="32"/>
          <w:szCs w:val="32"/>
          <w:lang w:eastAsia="zh-CN"/>
        </w:rPr>
        <w:t>附件2：指标体系</w:t>
      </w:r>
      <w:bookmarkEnd w:id="160"/>
      <w:bookmarkEnd w:id="161"/>
      <w:r>
        <w:rPr>
          <w:rFonts w:hint="eastAsia" w:asciiTheme="majorEastAsia" w:hAnsiTheme="majorEastAsia" w:eastAsiaTheme="majorEastAsia" w:cstheme="majorEastAsia"/>
          <w:sz w:val="32"/>
          <w:szCs w:val="32"/>
          <w:lang w:eastAsia="zh-CN"/>
        </w:rPr>
        <w:t>及评分明细</w:t>
      </w:r>
      <w:bookmarkEnd w:id="162"/>
    </w:p>
    <w:p>
      <w:pPr>
        <w:pStyle w:val="21"/>
        <w:ind w:firstLine="0" w:firstLineChars="0"/>
        <w:jc w:val="center"/>
        <w:rPr>
          <w:rFonts w:ascii="仿宋" w:hAnsi="仿宋" w:eastAsia="仿宋" w:cs="仿宋"/>
          <w:b/>
          <w:bCs/>
        </w:rPr>
      </w:pPr>
      <w:r>
        <w:rPr>
          <w:rFonts w:hint="eastAsia" w:ascii="仿宋" w:hAnsi="仿宋" w:eastAsia="仿宋" w:cs="仿宋"/>
          <w:b/>
          <w:bCs/>
        </w:rPr>
        <w:t>忻州市政务服务中心业务用房建设工程项目绩效指标体系及评分明细</w:t>
      </w:r>
    </w:p>
    <w:p>
      <w:pPr>
        <w:pStyle w:val="19"/>
        <w:spacing w:line="480" w:lineRule="auto"/>
        <w:ind w:firstLine="0" w:firstLineChars="0"/>
        <w:jc w:val="center"/>
        <w:rPr>
          <w:rFonts w:asciiTheme="majorEastAsia" w:hAnsiTheme="majorEastAsia" w:eastAsiaTheme="majorEastAsia" w:cstheme="majorEastAsia"/>
          <w:sz w:val="32"/>
          <w:szCs w:val="32"/>
          <w:lang w:eastAsia="zh-CN"/>
        </w:rPr>
      </w:pPr>
      <w:r>
        <w:rPr>
          <w:rFonts w:hint="eastAsia" w:ascii="仿宋" w:hAnsi="仿宋" w:cs="仿宋"/>
          <w:sz w:val="24"/>
          <w:szCs w:val="24"/>
          <w:lang w:eastAsia="zh-CN"/>
        </w:rPr>
        <w:t>评价等级：        优秀□        良好√        合格□        不合格□</w:t>
      </w:r>
    </w:p>
    <w:tbl>
      <w:tblPr>
        <w:tblStyle w:val="16"/>
        <w:tblW w:w="13988" w:type="dxa"/>
        <w:tblInd w:w="0" w:type="dxa"/>
        <w:tblLayout w:type="fixed"/>
        <w:tblCellMar>
          <w:top w:w="15" w:type="dxa"/>
          <w:left w:w="15" w:type="dxa"/>
          <w:bottom w:w="15" w:type="dxa"/>
          <w:right w:w="15" w:type="dxa"/>
        </w:tblCellMar>
      </w:tblPr>
      <w:tblGrid>
        <w:gridCol w:w="648"/>
        <w:gridCol w:w="1129"/>
        <w:gridCol w:w="686"/>
        <w:gridCol w:w="950"/>
        <w:gridCol w:w="723"/>
        <w:gridCol w:w="865"/>
        <w:gridCol w:w="2878"/>
        <w:gridCol w:w="4136"/>
        <w:gridCol w:w="912"/>
        <w:gridCol w:w="1061"/>
      </w:tblGrid>
      <w:tr>
        <w:tblPrEx>
          <w:tblLayout w:type="fixed"/>
          <w:tblCellMar>
            <w:top w:w="15" w:type="dxa"/>
            <w:left w:w="15" w:type="dxa"/>
            <w:bottom w:w="15" w:type="dxa"/>
            <w:right w:w="15" w:type="dxa"/>
          </w:tblCellMar>
        </w:tblPrEx>
        <w:trPr>
          <w:trHeight w:val="493" w:hRule="atLeast"/>
          <w:tblHeader/>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一级指标</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分值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二级指标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分值</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三级指标</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分值</w:t>
            </w:r>
          </w:p>
        </w:tc>
        <w:tc>
          <w:tcPr>
            <w:tcW w:w="28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指标解释</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评分标准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rPr>
            </w:pPr>
            <w:r>
              <w:rPr>
                <w:rFonts w:hint="eastAsia" w:ascii="仿宋" w:hAnsi="仿宋" w:eastAsia="仿宋" w:cs="仿宋"/>
                <w:b/>
                <w:color w:val="000000"/>
                <w:sz w:val="24"/>
                <w:szCs w:val="24"/>
                <w:lang w:eastAsia="zh-CN" w:bidi="ar"/>
              </w:rPr>
              <w:t>得分</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color w:val="000000"/>
                <w:sz w:val="24"/>
                <w:szCs w:val="24"/>
                <w:lang w:eastAsia="zh-CN" w:bidi="ar"/>
              </w:rPr>
            </w:pPr>
            <w:r>
              <w:rPr>
                <w:rFonts w:hint="eastAsia" w:ascii="仿宋" w:hAnsi="仿宋" w:eastAsia="仿宋" w:cs="仿宋"/>
                <w:b/>
                <w:color w:val="000000"/>
                <w:sz w:val="24"/>
                <w:szCs w:val="24"/>
                <w:lang w:eastAsia="zh-CN" w:bidi="ar"/>
              </w:rPr>
              <w:t>得分率</w:t>
            </w:r>
          </w:p>
        </w:tc>
      </w:tr>
      <w:tr>
        <w:tblPrEx>
          <w:tblLayout w:type="fixed"/>
          <w:tblCellMar>
            <w:top w:w="15" w:type="dxa"/>
            <w:left w:w="15" w:type="dxa"/>
            <w:bottom w:w="15" w:type="dxa"/>
            <w:right w:w="15" w:type="dxa"/>
          </w:tblCellMar>
        </w:tblPrEx>
        <w:trPr>
          <w:trHeight w:val="9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项目决策</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20.00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项目目标</w:t>
            </w: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9.00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目标规范</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w:t>
            </w:r>
          </w:p>
        </w:tc>
        <w:tc>
          <w:tcPr>
            <w:tcW w:w="28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目标设定符合项目发展规划</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目标设定是否符合项目发展规划</w:t>
            </w:r>
          </w:p>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（是3分，否则0分）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3.00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842"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目标合理</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w:t>
            </w:r>
          </w:p>
        </w:tc>
        <w:tc>
          <w:tcPr>
            <w:tcW w:w="28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目标切实可行</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目标是否切实可行</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（是3分，否则0分）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 xml:space="preserve">3.00 </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637"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目标明确</w:t>
            </w:r>
          </w:p>
        </w:tc>
        <w:tc>
          <w:tcPr>
            <w:tcW w:w="86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w:t>
            </w:r>
          </w:p>
        </w:tc>
        <w:tc>
          <w:tcPr>
            <w:tcW w:w="287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项目目标明确</w:t>
            </w:r>
          </w:p>
        </w:tc>
        <w:tc>
          <w:tcPr>
            <w:tcW w:w="4136"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项目立项目标是否明确</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（是3分，否则0分）</w:t>
            </w:r>
          </w:p>
        </w:tc>
        <w:tc>
          <w:tcPr>
            <w:tcW w:w="91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3.00</w:t>
            </w:r>
          </w:p>
        </w:tc>
        <w:tc>
          <w:tcPr>
            <w:tcW w:w="1061"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981"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决策过程</w:t>
            </w:r>
          </w:p>
        </w:tc>
        <w:tc>
          <w:tcPr>
            <w:tcW w:w="950"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11.00</w:t>
            </w:r>
          </w:p>
        </w:tc>
        <w:tc>
          <w:tcPr>
            <w:tcW w:w="723"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决策依据</w:t>
            </w:r>
          </w:p>
        </w:tc>
        <w:tc>
          <w:tcPr>
            <w:tcW w:w="865"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w:t>
            </w:r>
          </w:p>
        </w:tc>
        <w:tc>
          <w:tcPr>
            <w:tcW w:w="2878"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项目符合经济社会发展规划和部门年度工作计划</w:t>
            </w:r>
          </w:p>
        </w:tc>
        <w:tc>
          <w:tcPr>
            <w:tcW w:w="4136"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项目立项是否符合经济社会发展规划</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及部门年度工作计划</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（是3分，否则0分）</w:t>
            </w:r>
          </w:p>
        </w:tc>
        <w:tc>
          <w:tcPr>
            <w:tcW w:w="912"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3.00</w:t>
            </w:r>
          </w:p>
        </w:tc>
        <w:tc>
          <w:tcPr>
            <w:tcW w:w="1061" w:type="dxa"/>
            <w:tcBorders>
              <w:top w:val="single" w:color="auto" w:sz="4" w:space="0"/>
              <w:left w:val="single" w:color="000000" w:sz="4" w:space="0"/>
              <w:bottom w:val="single" w:color="000000" w:sz="4" w:space="0"/>
              <w:right w:val="single" w:color="auto"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2155"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auto" w:sz="4" w:space="0"/>
              <w:right w:val="single" w:color="auto"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决策程序</w:t>
            </w:r>
          </w:p>
        </w:tc>
        <w:tc>
          <w:tcPr>
            <w:tcW w:w="86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8.00</w:t>
            </w:r>
          </w:p>
        </w:tc>
        <w:tc>
          <w:tcPr>
            <w:tcW w:w="287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①项目符合申报条件</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②决策程序科学</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③项目的申报、批复程序符合相关管理办法</w:t>
            </w:r>
          </w:p>
        </w:tc>
        <w:tc>
          <w:tcPr>
            <w:tcW w:w="4136"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项目否符合申报条件，2分；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事前是否经过必要的可行性研究、风险评估等，3分；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申报、批复程序符合相关管理办法，3分</w:t>
            </w:r>
          </w:p>
        </w:tc>
        <w:tc>
          <w:tcPr>
            <w:tcW w:w="91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8.00</w:t>
            </w:r>
          </w:p>
        </w:tc>
        <w:tc>
          <w:tcPr>
            <w:tcW w:w="1061" w:type="dxa"/>
            <w:tcBorders>
              <w:top w:val="single" w:color="000000" w:sz="4" w:space="0"/>
              <w:left w:val="single" w:color="000000" w:sz="4" w:space="0"/>
              <w:bottom w:val="single" w:color="auto" w:sz="4" w:space="0"/>
              <w:right w:val="single" w:color="auto"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2366"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项目管理</w:t>
            </w:r>
          </w:p>
        </w:tc>
        <w:tc>
          <w:tcPr>
            <w:tcW w:w="1129"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30.00</w:t>
            </w:r>
          </w:p>
        </w:tc>
        <w:tc>
          <w:tcPr>
            <w:tcW w:w="686"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资金管理</w:t>
            </w:r>
          </w:p>
        </w:tc>
        <w:tc>
          <w:tcPr>
            <w:tcW w:w="95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15.00</w:t>
            </w:r>
          </w:p>
        </w:tc>
        <w:tc>
          <w:tcPr>
            <w:tcW w:w="723"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资金到位</w:t>
            </w:r>
          </w:p>
        </w:tc>
        <w:tc>
          <w:tcPr>
            <w:tcW w:w="865"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4.00</w:t>
            </w:r>
          </w:p>
        </w:tc>
        <w:tc>
          <w:tcPr>
            <w:tcW w:w="2878"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①资金到位率</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②到位及时率</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①资金到位率=（实际到位资金/计划投入资金）*100%；资金到位率100%，2分；90%-100%，1分；低于90%，0分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②到位及时率=（及时到位资金/应到位资金）*100%；到位及时率100%，2分；90%-100%，1分；低于90%，0分</w:t>
            </w:r>
          </w:p>
        </w:tc>
        <w:tc>
          <w:tcPr>
            <w:tcW w:w="912"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2.00</w:t>
            </w:r>
          </w:p>
        </w:tc>
        <w:tc>
          <w:tcPr>
            <w:tcW w:w="1061" w:type="dxa"/>
            <w:tcBorders>
              <w:top w:val="single" w:color="auto" w:sz="4" w:space="0"/>
              <w:left w:val="single" w:color="000000" w:sz="4" w:space="0"/>
              <w:bottom w:val="single" w:color="000000" w:sz="4" w:space="0"/>
              <w:right w:val="single" w:color="auto"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r>
      <w:tr>
        <w:tblPrEx>
          <w:tblLayout w:type="fixed"/>
          <w:tblCellMar>
            <w:top w:w="15" w:type="dxa"/>
            <w:left w:w="15" w:type="dxa"/>
            <w:bottom w:w="15" w:type="dxa"/>
            <w:right w:w="15" w:type="dxa"/>
          </w:tblCellMar>
        </w:tblPrEx>
        <w:trPr>
          <w:trHeight w:val="2785"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资金使用</w:t>
            </w:r>
          </w:p>
        </w:tc>
        <w:tc>
          <w:tcPr>
            <w:tcW w:w="865" w:type="dxa"/>
            <w:tcBorders>
              <w:top w:val="single" w:color="auto" w:sz="4" w:space="0"/>
              <w:left w:val="single" w:color="auto"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7.00</w:t>
            </w:r>
          </w:p>
        </w:tc>
        <w:tc>
          <w:tcPr>
            <w:tcW w:w="2878"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①虚列或者套取</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②支出依据不合规</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③截留、挤占、挪用</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④超标准开支</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是否虚列或者套取资金</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（不存在1分，否则0分）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是否截留、挤占、挪用资金</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（不存在2分，否则0分）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是否超标准开支</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（不存在2分，否则0分）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支出依据是否合规</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（合规得2分，否则0分）</w:t>
            </w:r>
          </w:p>
        </w:tc>
        <w:tc>
          <w:tcPr>
            <w:tcW w:w="912" w:type="dxa"/>
            <w:tcBorders>
              <w:top w:val="single" w:color="auto" w:sz="4" w:space="0"/>
              <w:left w:val="single" w:color="000000" w:sz="4" w:space="0"/>
              <w:bottom w:val="single" w:color="auto" w:sz="4" w:space="0"/>
              <w:right w:val="single" w:color="auto"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7.00</w:t>
            </w:r>
          </w:p>
        </w:tc>
        <w:tc>
          <w:tcPr>
            <w:tcW w:w="1061" w:type="dxa"/>
            <w:tcBorders>
              <w:top w:val="single" w:color="000000" w:sz="4" w:space="0"/>
              <w:left w:val="single" w:color="auto" w:sz="4" w:space="0"/>
              <w:bottom w:val="single" w:color="000000" w:sz="4" w:space="0"/>
              <w:right w:val="single" w:color="auto" w:sz="4" w:space="0"/>
            </w:tcBorders>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515"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财务管理</w:t>
            </w:r>
          </w:p>
        </w:tc>
        <w:tc>
          <w:tcPr>
            <w:tcW w:w="865"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4.00</w:t>
            </w:r>
          </w:p>
        </w:tc>
        <w:tc>
          <w:tcPr>
            <w:tcW w:w="2878"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①财务制度健全且严格执行制度</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③会计核算规范</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④监督机制健全</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财务是否制度健全且严格执行制度</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（是2分，否则0分）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会计核算是否规范</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（是1分，否则0分）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是否已制定或具有相应的监控机制</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（是1分，否则0分）</w:t>
            </w:r>
          </w:p>
        </w:tc>
        <w:tc>
          <w:tcPr>
            <w:tcW w:w="912"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w:t>
            </w:r>
          </w:p>
        </w:tc>
        <w:tc>
          <w:tcPr>
            <w:tcW w:w="1061" w:type="dxa"/>
            <w:tcBorders>
              <w:top w:val="single" w:color="000000" w:sz="4" w:space="0"/>
              <w:left w:val="single" w:color="000000" w:sz="4" w:space="0"/>
              <w:bottom w:val="single" w:color="auto" w:sz="4" w:space="0"/>
              <w:right w:val="single" w:color="auto"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25.00%</w:t>
            </w:r>
          </w:p>
        </w:tc>
      </w:tr>
      <w:tr>
        <w:tblPrEx>
          <w:tblLayout w:type="fixed"/>
          <w:tblCellMar>
            <w:top w:w="15" w:type="dxa"/>
            <w:left w:w="15" w:type="dxa"/>
            <w:bottom w:w="15" w:type="dxa"/>
            <w:right w:w="15" w:type="dxa"/>
          </w:tblCellMar>
        </w:tblPrEx>
        <w:trPr>
          <w:trHeight w:val="391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项目管控</w:t>
            </w:r>
          </w:p>
        </w:tc>
        <w:tc>
          <w:tcPr>
            <w:tcW w:w="95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15.00</w:t>
            </w:r>
          </w:p>
        </w:tc>
        <w:tc>
          <w:tcPr>
            <w:tcW w:w="723"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制度有效</w:t>
            </w:r>
          </w:p>
        </w:tc>
        <w:tc>
          <w:tcPr>
            <w:tcW w:w="865"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4.00</w:t>
            </w:r>
          </w:p>
        </w:tc>
        <w:tc>
          <w:tcPr>
            <w:tcW w:w="2878" w:type="dxa"/>
            <w:tcBorders>
              <w:top w:val="single" w:color="auto" w:sz="4" w:space="0"/>
              <w:left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①项目管控制度健全</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②制度执行有效</w:t>
            </w:r>
          </w:p>
        </w:tc>
        <w:tc>
          <w:tcPr>
            <w:tcW w:w="4136"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①是否已制定或具有相应的业务管理制度；业务管理制度是否合法、合规、完整。</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（是2分，否则0分）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②是否遵守相关法律法规和业务管理规定；项目调整及支出调整手续是否完备；项目合同书、验收报告、技术鉴定等资料是否齐全并及时归档；项目实施的人员条件、场地设备、信息支撑等是否落实到位</w:t>
            </w:r>
          </w:p>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（是2分，否则0分）</w:t>
            </w:r>
          </w:p>
        </w:tc>
        <w:tc>
          <w:tcPr>
            <w:tcW w:w="912" w:type="dxa"/>
            <w:tcBorders>
              <w:top w:val="single" w:color="auto" w:sz="4" w:space="0"/>
              <w:left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0.00</w:t>
            </w:r>
          </w:p>
        </w:tc>
        <w:tc>
          <w:tcPr>
            <w:tcW w:w="1061" w:type="dxa"/>
            <w:tcBorders>
              <w:top w:val="single" w:color="auto" w:sz="4" w:space="0"/>
              <w:left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0.00%</w:t>
            </w:r>
          </w:p>
        </w:tc>
      </w:tr>
      <w:tr>
        <w:tblPrEx>
          <w:tblLayout w:type="fixed"/>
          <w:tblCellMar>
            <w:top w:w="15" w:type="dxa"/>
            <w:left w:w="15" w:type="dxa"/>
            <w:bottom w:w="15" w:type="dxa"/>
            <w:right w:w="15" w:type="dxa"/>
          </w:tblCellMar>
        </w:tblPrEx>
        <w:trPr>
          <w:trHeight w:val="842"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进度管理</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w:t>
            </w:r>
          </w:p>
        </w:tc>
        <w:tc>
          <w:tcPr>
            <w:tcW w:w="28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项目按预计进度进行监理</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项目是否按预计进度进行监理</w:t>
            </w:r>
          </w:p>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（是3分，否则0分）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3.00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1131"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成本管理</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4.00</w:t>
            </w:r>
          </w:p>
        </w:tc>
        <w:tc>
          <w:tcPr>
            <w:tcW w:w="28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严格执行项目成本控制与采购制度</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是否严格执行项目成本控制与采购制度</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（是4分，否则0分）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0.00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0.00%</w:t>
            </w:r>
          </w:p>
        </w:tc>
      </w:tr>
      <w:tr>
        <w:tblPrEx>
          <w:tblLayout w:type="fixed"/>
          <w:tblCellMar>
            <w:top w:w="15" w:type="dxa"/>
            <w:left w:w="15" w:type="dxa"/>
            <w:bottom w:w="15" w:type="dxa"/>
            <w:right w:w="15" w:type="dxa"/>
          </w:tblCellMar>
        </w:tblPrEx>
        <w:trPr>
          <w:trHeight w:val="915" w:hRule="atLeast"/>
        </w:trPr>
        <w:tc>
          <w:tcPr>
            <w:tcW w:w="64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质量管理</w:t>
            </w:r>
          </w:p>
        </w:tc>
        <w:tc>
          <w:tcPr>
            <w:tcW w:w="86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4.00</w:t>
            </w:r>
          </w:p>
        </w:tc>
        <w:tc>
          <w:tcPr>
            <w:tcW w:w="287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项目质量可控</w:t>
            </w:r>
          </w:p>
        </w:tc>
        <w:tc>
          <w:tcPr>
            <w:tcW w:w="4136"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是否已制定或具有相应的项目质量标准；是否采取了相应的项目质量检查或验收等必须的控制措施或手段</w:t>
            </w:r>
          </w:p>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（是4分，否则0分）</w:t>
            </w:r>
          </w:p>
        </w:tc>
        <w:tc>
          <w:tcPr>
            <w:tcW w:w="91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4.00</w:t>
            </w:r>
          </w:p>
        </w:tc>
        <w:tc>
          <w:tcPr>
            <w:tcW w:w="1061"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line="360" w:lineRule="auto"/>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90" w:hRule="atLeast"/>
        </w:trPr>
        <w:tc>
          <w:tcPr>
            <w:tcW w:w="648"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项目绩效</w:t>
            </w:r>
          </w:p>
        </w:tc>
        <w:tc>
          <w:tcPr>
            <w:tcW w:w="112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50.00</w:t>
            </w:r>
          </w:p>
        </w:tc>
        <w:tc>
          <w:tcPr>
            <w:tcW w:w="686"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项目产出</w:t>
            </w:r>
          </w:p>
        </w:tc>
        <w:tc>
          <w:tcPr>
            <w:tcW w:w="95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20.00</w:t>
            </w:r>
          </w:p>
        </w:tc>
        <w:tc>
          <w:tcPr>
            <w:tcW w:w="723"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产出数量</w:t>
            </w:r>
          </w:p>
        </w:tc>
        <w:tc>
          <w:tcPr>
            <w:tcW w:w="86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5.00</w:t>
            </w:r>
          </w:p>
        </w:tc>
        <w:tc>
          <w:tcPr>
            <w:tcW w:w="2878" w:type="dxa"/>
            <w:tcBorders>
              <w:top w:val="single" w:color="auto" w:sz="4" w:space="0"/>
              <w:left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①完成47,064.43平方米的建筑面积</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②完成7,095.70平方米的绿化面积</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③完成490个停车位的建设</w:t>
            </w:r>
          </w:p>
        </w:tc>
        <w:tc>
          <w:tcPr>
            <w:tcW w:w="4136"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①实际完成建筑面积/47,064.43的比率大于95%，2分；比例达到80%-95%，1分；低于80%，0分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②实际绿化面积/7,095.70的比率大于95%，2分；比例达到80%-95%，1分；低于80%,0分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③实际建设停车位数量/490的比率大于95%，1分；比例达到80%-95%，0.5分；低于80%，0分</w:t>
            </w:r>
          </w:p>
        </w:tc>
        <w:tc>
          <w:tcPr>
            <w:tcW w:w="912" w:type="dxa"/>
            <w:tcBorders>
              <w:top w:val="single" w:color="auto" w:sz="4" w:space="0"/>
              <w:left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5.00</w:t>
            </w:r>
          </w:p>
        </w:tc>
        <w:tc>
          <w:tcPr>
            <w:tcW w:w="1061" w:type="dxa"/>
            <w:tcBorders>
              <w:top w:val="single" w:color="auto" w:sz="4" w:space="0"/>
              <w:left w:val="single" w:color="000000" w:sz="4" w:space="0"/>
              <w:right w:val="single" w:color="auto"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1291" w:hRule="atLeast"/>
        </w:trPr>
        <w:tc>
          <w:tcPr>
            <w:tcW w:w="648"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产出质量</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5.00</w:t>
            </w:r>
          </w:p>
        </w:tc>
        <w:tc>
          <w:tcPr>
            <w:tcW w:w="28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项目竣工验收合格率达100%</w:t>
            </w:r>
          </w:p>
        </w:tc>
        <w:tc>
          <w:tcPr>
            <w:tcW w:w="413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竣工验收合格率达100%，5分；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（合格率每降低10个百分点扣1分，扣完为止）</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5.00</w:t>
            </w:r>
          </w:p>
        </w:tc>
        <w:tc>
          <w:tcPr>
            <w:tcW w:w="1061"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2688" w:hRule="atLeast"/>
        </w:trPr>
        <w:tc>
          <w:tcPr>
            <w:tcW w:w="648"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产出时效</w:t>
            </w:r>
          </w:p>
        </w:tc>
        <w:tc>
          <w:tcPr>
            <w:tcW w:w="865"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5.00</w:t>
            </w:r>
          </w:p>
        </w:tc>
        <w:tc>
          <w:tcPr>
            <w:tcW w:w="2878"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①项目开工率达100%</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②项目完工率达到100%</w:t>
            </w:r>
          </w:p>
        </w:tc>
        <w:tc>
          <w:tcPr>
            <w:tcW w:w="4136"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①项目开工率=（项目开工数量/总项目数量）*100%；项目开工率指标得分=项目开工率*3分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②项目完工率=（实际完成程度/计划完成程度）*100%；项目完工率指标得分=项目完工率*2分</w:t>
            </w:r>
          </w:p>
        </w:tc>
        <w:tc>
          <w:tcPr>
            <w:tcW w:w="912"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5.00</w:t>
            </w:r>
          </w:p>
        </w:tc>
        <w:tc>
          <w:tcPr>
            <w:tcW w:w="1061" w:type="dxa"/>
            <w:tcBorders>
              <w:top w:val="single" w:color="000000" w:sz="4" w:space="0"/>
              <w:left w:val="single" w:color="000000" w:sz="4" w:space="0"/>
              <w:bottom w:val="single" w:color="auto" w:sz="4" w:space="0"/>
              <w:right w:val="single" w:color="auto"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1315" w:hRule="atLeast"/>
        </w:trPr>
        <w:tc>
          <w:tcPr>
            <w:tcW w:w="648"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产出成本</w:t>
            </w:r>
          </w:p>
        </w:tc>
        <w:tc>
          <w:tcPr>
            <w:tcW w:w="865"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5.00</w:t>
            </w:r>
          </w:p>
        </w:tc>
        <w:tc>
          <w:tcPr>
            <w:tcW w:w="2878" w:type="dxa"/>
            <w:tcBorders>
              <w:top w:val="single" w:color="auto" w:sz="4" w:space="0"/>
              <w:left w:val="single" w:color="000000"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①项目建设成本控制在预算范围内</w:t>
            </w:r>
          </w:p>
          <w:p>
            <w:pPr>
              <w:spacing w:after="0"/>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②结余结转资金管理</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①建设成本控制在预算范围内，3分；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（每超过20%，扣1分，扣完为止）</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②是否有效管理结余结转资金，是否及时返还财政（是2分，否则0分）</w:t>
            </w:r>
          </w:p>
        </w:tc>
        <w:tc>
          <w:tcPr>
            <w:tcW w:w="912" w:type="dxa"/>
            <w:tcBorders>
              <w:top w:val="single" w:color="auto" w:sz="4" w:space="0"/>
              <w:left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5.00</w:t>
            </w:r>
          </w:p>
        </w:tc>
        <w:tc>
          <w:tcPr>
            <w:tcW w:w="1061" w:type="dxa"/>
            <w:tcBorders>
              <w:top w:val="single" w:color="auto" w:sz="4" w:space="0"/>
              <w:left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1857" w:hRule="atLeast"/>
        </w:trPr>
        <w:tc>
          <w:tcPr>
            <w:tcW w:w="648"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项目效果</w:t>
            </w: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30.00</w:t>
            </w:r>
          </w:p>
        </w:tc>
        <w:tc>
          <w:tcPr>
            <w:tcW w:w="723"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社会效益</w:t>
            </w:r>
          </w:p>
        </w:tc>
        <w:tc>
          <w:tcPr>
            <w:tcW w:w="865" w:type="dxa"/>
            <w:tcBorders>
              <w:top w:val="single" w:color="auto" w:sz="4" w:space="0"/>
              <w:left w:val="single" w:color="auto"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10.00</w:t>
            </w:r>
          </w:p>
        </w:tc>
        <w:tc>
          <w:tcPr>
            <w:tcW w:w="2878"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①政务大楼内各行政机关部门是否较之前集中化，协作能力是否增强，能否有效提高办事效率</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②政务中心能否规范审批运作流程，实施有效监督</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实现集中化得1分；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协作能力增强得2分；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有效提高办事效率2分；</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能够实施有效监督2分；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能够规范审批运作流程3分</w:t>
            </w:r>
          </w:p>
        </w:tc>
        <w:tc>
          <w:tcPr>
            <w:tcW w:w="912"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w:t>
            </w:r>
          </w:p>
        </w:tc>
        <w:tc>
          <w:tcPr>
            <w:tcW w:w="1061" w:type="dxa"/>
            <w:tcBorders>
              <w:top w:val="single" w:color="auto" w:sz="4" w:space="0"/>
              <w:left w:val="single" w:color="000000" w:sz="4" w:space="0"/>
              <w:bottom w:val="single" w:color="auto" w:sz="4" w:space="0"/>
              <w:right w:val="single" w:color="auto"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886" w:hRule="atLeast"/>
        </w:trPr>
        <w:tc>
          <w:tcPr>
            <w:tcW w:w="648"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可持续影响</w:t>
            </w:r>
          </w:p>
        </w:tc>
        <w:tc>
          <w:tcPr>
            <w:tcW w:w="865" w:type="dxa"/>
            <w:tcBorders>
              <w:top w:val="single" w:color="auto"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10.00</w:t>
            </w:r>
          </w:p>
        </w:tc>
        <w:tc>
          <w:tcPr>
            <w:tcW w:w="2878"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项目完成后，是否建立日常的管护制度，并落实到主体</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建立了政务中心的日常管护制度5分；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责任落实到主体5分</w:t>
            </w:r>
          </w:p>
        </w:tc>
        <w:tc>
          <w:tcPr>
            <w:tcW w:w="912"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w:t>
            </w:r>
          </w:p>
        </w:tc>
        <w:tc>
          <w:tcPr>
            <w:tcW w:w="1061"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2050" w:hRule="atLeast"/>
        </w:trPr>
        <w:tc>
          <w:tcPr>
            <w:tcW w:w="648"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服务对象满意度</w:t>
            </w:r>
          </w:p>
        </w:tc>
        <w:tc>
          <w:tcPr>
            <w:tcW w:w="865"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bidi="ar"/>
              </w:rPr>
              <w:t>10.00</w:t>
            </w:r>
          </w:p>
        </w:tc>
        <w:tc>
          <w:tcPr>
            <w:tcW w:w="2878" w:type="dxa"/>
            <w:tcBorders>
              <w:top w:val="single" w:color="auto" w:sz="4" w:space="0"/>
              <w:left w:val="single" w:color="auto"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①通过问卷调查了解政府内部员工的满意程度；</w:t>
            </w:r>
          </w:p>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②通过问卷调查了解人民群众的满意程度。</w:t>
            </w: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color w:val="000000"/>
                <w:sz w:val="24"/>
                <w:szCs w:val="24"/>
                <w:lang w:eastAsia="zh-CN" w:bidi="ar"/>
              </w:rPr>
            </w:pPr>
            <w:r>
              <w:rPr>
                <w:rFonts w:hint="eastAsia" w:ascii="仿宋" w:hAnsi="仿宋" w:eastAsia="仿宋" w:cs="仿宋"/>
                <w:color w:val="000000"/>
                <w:sz w:val="24"/>
                <w:szCs w:val="24"/>
                <w:lang w:eastAsia="zh-CN" w:bidi="ar"/>
              </w:rPr>
              <w:t>①政府内部员工满意度达到90%以上（含90%），5分；80%-90%，3分；低于80%，0分</w:t>
            </w:r>
          </w:p>
          <w:p>
            <w:pPr>
              <w:spacing w:after="0"/>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bidi="ar"/>
              </w:rPr>
              <w:t>②人民群众满意度达到90%以上（含90%），5分；80%-90%，3分；低于80%，0分</w:t>
            </w:r>
          </w:p>
        </w:tc>
        <w:tc>
          <w:tcPr>
            <w:tcW w:w="912"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w:t>
            </w:r>
          </w:p>
        </w:tc>
        <w:tc>
          <w:tcPr>
            <w:tcW w:w="1061" w:type="dxa"/>
            <w:tcBorders>
              <w:top w:val="single" w:color="auto" w:sz="4" w:space="0"/>
              <w:left w:val="single" w:color="000000" w:sz="4" w:space="0"/>
              <w:bottom w:val="single" w:color="auto" w:sz="4" w:space="0"/>
              <w:right w:val="single" w:color="auto" w:sz="4" w:space="0"/>
            </w:tcBorders>
            <w:shd w:val="clear" w:color="auto" w:fill="auto"/>
            <w:vAlign w:val="center"/>
          </w:tcPr>
          <w:p>
            <w:pPr>
              <w:spacing w:after="0"/>
              <w:jc w:val="center"/>
              <w:rPr>
                <w:rFonts w:ascii="仿宋" w:hAnsi="仿宋" w:eastAsia="仿宋" w:cs="仿宋"/>
                <w:color w:val="000000"/>
                <w:sz w:val="24"/>
                <w:szCs w:val="24"/>
                <w:lang w:eastAsia="zh-CN"/>
              </w:rPr>
            </w:pPr>
            <w:r>
              <w:rPr>
                <w:rFonts w:hint="eastAsia" w:ascii="仿宋" w:hAnsi="仿宋" w:eastAsia="仿宋" w:cs="仿宋"/>
                <w:sz w:val="24"/>
                <w:szCs w:val="24"/>
                <w:lang w:eastAsia="zh-CN"/>
              </w:rPr>
              <w:t>100.00%</w:t>
            </w:r>
          </w:p>
        </w:tc>
      </w:tr>
      <w:tr>
        <w:tblPrEx>
          <w:tblLayout w:type="fixed"/>
          <w:tblCellMar>
            <w:top w:w="15" w:type="dxa"/>
            <w:left w:w="15" w:type="dxa"/>
            <w:bottom w:w="15" w:type="dxa"/>
            <w:right w:w="15" w:type="dxa"/>
          </w:tblCellMar>
        </w:tblPrEx>
        <w:trPr>
          <w:trHeight w:val="535" w:hRule="atLeast"/>
        </w:trPr>
        <w:tc>
          <w:tcPr>
            <w:tcW w:w="648" w:type="dxa"/>
            <w:tcBorders>
              <w:top w:val="single" w:color="000000" w:sz="4" w:space="0"/>
              <w:left w:val="single" w:color="auto"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合计</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100.00</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b/>
                <w:bCs/>
                <w:color w:val="000000"/>
                <w:sz w:val="24"/>
                <w:szCs w:val="24"/>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rFonts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100.00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textAlignment w:val="center"/>
              <w:rPr>
                <w:rFonts w:ascii="仿宋" w:hAnsi="仿宋" w:eastAsia="仿宋" w:cs="仿宋"/>
                <w:b/>
                <w:bCs/>
                <w:color w:val="000000"/>
                <w:sz w:val="24"/>
                <w:szCs w:val="24"/>
                <w:lang w:eastAsia="zh-CN" w:bidi="ar"/>
              </w:rPr>
            </w:pPr>
          </w:p>
        </w:tc>
        <w:tc>
          <w:tcPr>
            <w:tcW w:w="865"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jc w:val="center"/>
              <w:textAlignment w:val="center"/>
              <w:rPr>
                <w:rFonts w:ascii="仿宋" w:hAnsi="仿宋" w:eastAsia="仿宋" w:cs="仿宋"/>
                <w:b/>
                <w:bCs/>
                <w:color w:val="000000"/>
                <w:sz w:val="24"/>
                <w:szCs w:val="24"/>
                <w:lang w:eastAsia="zh-CN" w:bidi="ar"/>
              </w:rPr>
            </w:pPr>
            <w:r>
              <w:rPr>
                <w:rFonts w:hint="eastAsia" w:ascii="仿宋" w:hAnsi="仿宋" w:eastAsia="仿宋" w:cs="仿宋"/>
                <w:b/>
                <w:bCs/>
                <w:color w:val="000000"/>
                <w:sz w:val="24"/>
                <w:szCs w:val="24"/>
                <w:lang w:eastAsia="zh-CN" w:bidi="ar"/>
              </w:rPr>
              <w:t>100.00</w:t>
            </w:r>
          </w:p>
        </w:tc>
        <w:tc>
          <w:tcPr>
            <w:tcW w:w="2878" w:type="dxa"/>
            <w:tcBorders>
              <w:top w:val="single" w:color="auto" w:sz="4" w:space="0"/>
              <w:left w:val="single" w:color="auto" w:sz="4" w:space="0"/>
              <w:bottom w:val="single" w:color="auto" w:sz="4" w:space="0"/>
              <w:right w:val="single" w:color="000000" w:sz="4" w:space="0"/>
            </w:tcBorders>
            <w:shd w:val="clear" w:color="auto" w:fill="auto"/>
            <w:vAlign w:val="center"/>
          </w:tcPr>
          <w:p>
            <w:pPr>
              <w:spacing w:after="0"/>
              <w:textAlignment w:val="center"/>
              <w:rPr>
                <w:rFonts w:ascii="仿宋" w:hAnsi="仿宋" w:eastAsia="仿宋" w:cs="仿宋"/>
                <w:b/>
                <w:bCs/>
                <w:color w:val="000000"/>
                <w:sz w:val="24"/>
                <w:szCs w:val="24"/>
                <w:lang w:eastAsia="zh-CN" w:bidi="ar"/>
              </w:rPr>
            </w:pPr>
          </w:p>
        </w:tc>
        <w:tc>
          <w:tcPr>
            <w:tcW w:w="4136"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textAlignment w:val="center"/>
              <w:rPr>
                <w:rFonts w:ascii="仿宋" w:hAnsi="仿宋" w:eastAsia="仿宋" w:cs="仿宋"/>
                <w:b/>
                <w:bCs/>
                <w:color w:val="000000"/>
                <w:sz w:val="24"/>
                <w:szCs w:val="24"/>
                <w:lang w:eastAsia="zh-CN" w:bidi="ar"/>
              </w:rPr>
            </w:pPr>
            <w:r>
              <w:rPr>
                <w:rFonts w:hint="eastAsia" w:ascii="仿宋" w:hAnsi="仿宋" w:eastAsia="仿宋" w:cs="仿宋"/>
                <w:b/>
                <w:bCs/>
                <w:color w:val="000000"/>
                <w:sz w:val="24"/>
                <w:szCs w:val="24"/>
                <w:lang w:eastAsia="zh-CN" w:bidi="ar"/>
              </w:rPr>
              <w:t>得分合计</w:t>
            </w:r>
          </w:p>
        </w:tc>
        <w:tc>
          <w:tcPr>
            <w:tcW w:w="912" w:type="dxa"/>
            <w:tcBorders>
              <w:top w:val="single" w:color="auto" w:sz="4" w:space="0"/>
              <w:left w:val="single" w:color="000000" w:sz="4" w:space="0"/>
              <w:bottom w:val="single" w:color="auto" w:sz="4" w:space="0"/>
              <w:right w:val="single" w:color="000000" w:sz="4" w:space="0"/>
            </w:tcBorders>
            <w:shd w:val="clear" w:color="auto" w:fill="auto"/>
            <w:vAlign w:val="center"/>
          </w:tcPr>
          <w:p>
            <w:pPr>
              <w:spacing w:after="0"/>
              <w:jc w:val="center"/>
              <w:rPr>
                <w:rFonts w:ascii="仿宋" w:hAnsi="仿宋" w:eastAsia="仿宋" w:cs="仿宋"/>
                <w:b/>
                <w:bCs/>
                <w:color w:val="000000"/>
                <w:sz w:val="24"/>
                <w:szCs w:val="24"/>
                <w:lang w:eastAsia="zh-CN"/>
              </w:rPr>
            </w:pPr>
            <w:r>
              <w:rPr>
                <w:rFonts w:hint="eastAsia" w:ascii="仿宋" w:hAnsi="仿宋" w:eastAsia="仿宋" w:cs="仿宋"/>
                <w:b/>
                <w:bCs/>
                <w:color w:val="000000"/>
                <w:sz w:val="24"/>
                <w:szCs w:val="24"/>
                <w:lang w:eastAsia="zh-CN"/>
              </w:rPr>
              <w:t>87.00</w:t>
            </w:r>
          </w:p>
        </w:tc>
        <w:tc>
          <w:tcPr>
            <w:tcW w:w="1061" w:type="dxa"/>
            <w:tcBorders>
              <w:top w:val="single" w:color="auto" w:sz="4" w:space="0"/>
              <w:left w:val="single" w:color="000000" w:sz="4" w:space="0"/>
              <w:bottom w:val="single" w:color="auto" w:sz="4" w:space="0"/>
              <w:right w:val="single" w:color="auto" w:sz="4" w:space="0"/>
            </w:tcBorders>
            <w:shd w:val="clear" w:color="auto" w:fill="auto"/>
            <w:vAlign w:val="center"/>
          </w:tcPr>
          <w:p>
            <w:pPr>
              <w:spacing w:after="0"/>
              <w:jc w:val="center"/>
              <w:rPr>
                <w:rFonts w:ascii="仿宋" w:hAnsi="仿宋" w:eastAsia="仿宋" w:cs="仿宋"/>
                <w:b/>
                <w:bCs/>
                <w:sz w:val="24"/>
                <w:szCs w:val="24"/>
                <w:lang w:eastAsia="zh-CN"/>
              </w:rPr>
            </w:pPr>
            <w:r>
              <w:rPr>
                <w:rFonts w:hint="eastAsia" w:ascii="仿宋" w:hAnsi="仿宋" w:eastAsia="仿宋" w:cs="仿宋"/>
                <w:b/>
                <w:bCs/>
                <w:sz w:val="24"/>
                <w:szCs w:val="24"/>
                <w:lang w:eastAsia="zh-CN"/>
              </w:rPr>
              <w:t>87.00%</w:t>
            </w:r>
          </w:p>
        </w:tc>
      </w:tr>
      <w:tr>
        <w:tblPrEx>
          <w:tblLayout w:type="fixed"/>
          <w:tblCellMar>
            <w:top w:w="15" w:type="dxa"/>
            <w:left w:w="15" w:type="dxa"/>
            <w:bottom w:w="15" w:type="dxa"/>
            <w:right w:w="15" w:type="dxa"/>
          </w:tblCellMar>
        </w:tblPrEx>
        <w:trPr>
          <w:trHeight w:val="1000" w:hRule="atLeast"/>
        </w:trPr>
        <w:tc>
          <w:tcPr>
            <w:tcW w:w="13988" w:type="dxa"/>
            <w:gridSpan w:val="10"/>
            <w:tcBorders>
              <w:top w:val="single" w:color="000000" w:sz="4" w:space="0"/>
              <w:left w:val="single" w:color="auto" w:sz="4" w:space="0"/>
              <w:bottom w:val="single" w:color="000000" w:sz="4" w:space="0"/>
              <w:right w:val="single" w:color="auto" w:sz="4" w:space="0"/>
            </w:tcBorders>
            <w:shd w:val="clear" w:color="auto" w:fill="auto"/>
            <w:vAlign w:val="center"/>
          </w:tcPr>
          <w:p>
            <w:pPr>
              <w:spacing w:after="0"/>
              <w:rPr>
                <w:rFonts w:ascii="仿宋" w:hAnsi="仿宋" w:eastAsia="仿宋" w:cs="仿宋"/>
                <w:sz w:val="24"/>
                <w:szCs w:val="24"/>
                <w:lang w:eastAsia="zh-CN"/>
              </w:rPr>
            </w:pPr>
            <w:r>
              <w:rPr>
                <w:rFonts w:hint="eastAsia" w:ascii="仿宋" w:hAnsi="仿宋" w:eastAsia="仿宋" w:cs="仿宋"/>
                <w:sz w:val="24"/>
                <w:szCs w:val="24"/>
                <w:lang w:eastAsia="zh-CN"/>
              </w:rPr>
              <w:t>1、评价等级分为优秀(90≤S≤100)、良好(75≤S&lt;90)、合格（60≤S&lt;75）、不合格(S＜60)。       </w:t>
            </w:r>
          </w:p>
          <w:p>
            <w:pPr>
              <w:spacing w:after="0"/>
              <w:rPr>
                <w:rFonts w:ascii="仿宋" w:hAnsi="仿宋" w:eastAsia="仿宋" w:cs="仿宋"/>
                <w:sz w:val="24"/>
                <w:szCs w:val="24"/>
                <w:lang w:eastAsia="zh-CN"/>
              </w:rPr>
            </w:pPr>
            <w:r>
              <w:rPr>
                <w:rFonts w:hint="eastAsia" w:ascii="仿宋" w:hAnsi="仿宋" w:eastAsia="仿宋" w:cs="仿宋"/>
                <w:sz w:val="24"/>
                <w:szCs w:val="24"/>
                <w:lang w:eastAsia="zh-CN"/>
              </w:rPr>
              <w:t xml:space="preserve">2、本表适用于2017年度政务服务中心建设项目绩效评分。 </w:t>
            </w:r>
          </w:p>
        </w:tc>
      </w:tr>
    </w:tbl>
    <w:p>
      <w:pPr>
        <w:widowControl w:val="0"/>
        <w:spacing w:after="0" w:line="480" w:lineRule="auto"/>
        <w:jc w:val="both"/>
        <w:rPr>
          <w:lang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monospace">
    <w:altName w:val="Segoe Print"/>
    <w:panose1 w:val="00000000000000000000"/>
    <w:charset w:val="00"/>
    <w:family w:val="auto"/>
    <w:pitch w:val="default"/>
    <w:sig w:usb0="00000000" w:usb1="00000000" w:usb2="00000000" w:usb3="00000000" w:csb0="00000000" w:csb1="00000000"/>
  </w:font>
  <w:font w:name="Arial Narrow">
    <w:panose1 w:val="020B0606020202030204"/>
    <w:charset w:val="00"/>
    <w:family w:val="swiss"/>
    <w:pitch w:val="default"/>
    <w:sig w:usb0="00000287" w:usb1="000008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baikeFont_css">
    <w:altName w:val="Segoe Print"/>
    <w:panose1 w:val="00000000000000000000"/>
    <w:charset w:val="00"/>
    <w:family w:val="auto"/>
    <w:pitch w:val="default"/>
    <w:sig w:usb0="00000000" w:usb1="00000000" w:usb2="00000000" w:usb3="00000000" w:csb0="00000000" w:csb1="00000000"/>
  </w:font>
  <w:font w:name="baikeFont_layout">
    <w:altName w:val="Segoe Print"/>
    <w:panose1 w:val="00000000000000000000"/>
    <w:charset w:val="00"/>
    <w:family w:val="auto"/>
    <w:pitch w:val="default"/>
    <w:sig w:usb0="00000000" w:usb1="00000000" w:usb2="00000000" w:usb3="00000000" w:csb0="00000000" w:csb1="00000000"/>
  </w:font>
  <w:font w:name="叶根友毛笔行书2.0版">
    <w:altName w:val="宋体"/>
    <w:panose1 w:val="02010601030101010101"/>
    <w:charset w:val="86"/>
    <w:family w:val="auto"/>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Tw Cen MT">
    <w:panose1 w:val="020B0602020104020603"/>
    <w:charset w:val="00"/>
    <w:family w:val="swiss"/>
    <w:pitch w:val="default"/>
    <w:sig w:usb0="00000003" w:usb1="00000000" w:usb2="00000000" w:usb3="00000000" w:csb0="20000003" w:csb1="00000000"/>
  </w:font>
  <w:font w:name="Verdana">
    <w:panose1 w:val="020B0604030504040204"/>
    <w:charset w:val="00"/>
    <w:family w:val="swiss"/>
    <w:pitch w:val="default"/>
    <w:sig w:usb0="A10006FF" w:usb1="4000205B" w:usb2="00000010" w:usb3="00000000" w:csb0="2000019F" w:csb1="00000000"/>
  </w:font>
  <w:font w:name="宋体-18030">
    <w:altName w:val="微软雅黑"/>
    <w:panose1 w:val="02010609060101010101"/>
    <w:charset w:val="86"/>
    <w:family w:val="modern"/>
    <w:pitch w:val="default"/>
    <w:sig w:usb0="00000000" w:usb1="00000000" w:usb2="000A005E"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PingFang SC">
    <w:altName w:val="Segoe Print"/>
    <w:panose1 w:val="00000000000000000000"/>
    <w:charset w:val="00"/>
    <w:family w:val="auto"/>
    <w:pitch w:val="default"/>
    <w:sig w:usb0="00000000" w:usb1="00000000" w:usb2="00000000" w:usb3="00000000" w:csb0="00000000" w:csb1="00000000"/>
  </w:font>
  <w:font w:name="微软雅黑 Light">
    <w:altName w:val="黑体"/>
    <w:panose1 w:val="020B0502040204020203"/>
    <w:charset w:val="86"/>
    <w:family w:val="auto"/>
    <w:pitch w:val="default"/>
    <w:sig w:usb0="00000000" w:usb1="0000000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roman"/>
    <w:pitch w:val="default"/>
    <w:sig w:usb0="00000000" w:usb1="00000000" w:usb2="00000000" w:usb3="00000000" w:csb0="00040001" w:csb1="00000000"/>
  </w:font>
  <w:font w:name="方正小标宋简体">
    <w:altName w:val="宋体"/>
    <w:panose1 w:val="00000000000000000000"/>
    <w:charset w:val="00"/>
    <w:family w:val="auto"/>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宋体"/>
    <w:panose1 w:val="00000000000000000000"/>
    <w:charset w:val="86"/>
    <w:family w:val="roman"/>
    <w:pitch w:val="default"/>
    <w:sig w:usb0="00000000" w:usb1="00000000" w:usb2="00000010" w:usb3="00000000" w:csb0="00040000" w:csb1="00000000"/>
  </w:font>
  <w:font w:name="方正小标宋_GBK">
    <w:altName w:val="宋体"/>
    <w:panose1 w:val="03000509000000000000"/>
    <w:charset w:val="86"/>
    <w:family w:val="auto"/>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Microsoft YaHei UI">
    <w:altName w:val="宋体"/>
    <w:panose1 w:val="020B0503020204020204"/>
    <w:charset w:val="86"/>
    <w:family w:val="swiss"/>
    <w:pitch w:val="default"/>
    <w:sig w:usb0="00000000" w:usb1="00000000" w:usb2="00000016" w:usb3="00000000" w:csb0="0004001F" w:csb1="00000000"/>
  </w:font>
  <w:font w:name="MS Gothic">
    <w:panose1 w:val="020B0609070205080204"/>
    <w:charset w:val="80"/>
    <w:family w:val="auto"/>
    <w:pitch w:val="default"/>
    <w:sig w:usb0="E00002FF" w:usb1="6AC7FDFB" w:usb2="00000012" w:usb3="00000000" w:csb0="4002009F" w:csb1="DFD7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Sylfaen">
    <w:panose1 w:val="010A0502050306030303"/>
    <w:charset w:val="00"/>
    <w:family w:val="roman"/>
    <w:pitch w:val="default"/>
    <w:sig w:usb0="04000687" w:usb1="00000000" w:usb2="00000000" w:usb3="00000000" w:csb0="2000009F" w:csb1="00000000"/>
  </w:font>
  <w:font w:name="Wingdings">
    <w:panose1 w:val="05000000000000000000"/>
    <w:charset w:val="00"/>
    <w:family w:val="auto"/>
    <w:pitch w:val="default"/>
    <w:sig w:usb0="00000000" w:usb1="00000000" w:usb2="00000000" w:usb3="00000000" w:csb0="80000000" w:csb1="00000000"/>
  </w:font>
  <w:font w:name="HiraginoSansGB-W3">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lucida Grande">
    <w:altName w:val="Segoe Print"/>
    <w:panose1 w:val="00000000000000000000"/>
    <w:charset w:val="00"/>
    <w:family w:val="auto"/>
    <w:pitch w:val="default"/>
    <w:sig w:usb0="00000000" w:usb1="00000000" w:usb2="00000000" w:usb3="00000000" w:csb0="00040001" w:csb1="00000000"/>
  </w:font>
  <w:font w:name="Dotum">
    <w:panose1 w:val="020B0600000101010101"/>
    <w:charset w:val="81"/>
    <w:family w:val="swiss"/>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TimesNewRomanPSMT">
    <w:altName w:val="Times New Roman"/>
    <w:panose1 w:val="00000000000000000000"/>
    <w:charset w:val="00"/>
    <w:family w:val="auto"/>
    <w:pitch w:val="default"/>
    <w:sig w:usb0="00000000" w:usb1="00000000" w:usb2="00000000" w:usb3="00000000" w:csb0="00000000" w:csb1="00000000"/>
  </w:font>
  <w:font w:name="宋">
    <w:altName w:val="宋体"/>
    <w:panose1 w:val="00000000000000000000"/>
    <w:charset w:val="00"/>
    <w:family w:val="auto"/>
    <w:pitch w:val="default"/>
    <w:sig w:usb0="00000000" w:usb1="00000000" w:usb2="00000000" w:usb3="00000000" w:csb0="00000000" w:csb1="00000000"/>
  </w:font>
  <w:font w:name="y">
    <w:altName w:val="Segoe Print"/>
    <w:panose1 w:val="00000000000000000000"/>
    <w:charset w:val="00"/>
    <w:family w:val="auto"/>
    <w:pitch w:val="default"/>
    <w:sig w:usb0="00000000" w:usb1="00000000" w:usb2="00000000" w:usb3="00000000" w:csb0="00000000" w:csb1="00000000"/>
  </w:font>
  <w:font w:name="Yu Gothic">
    <w:altName w:val="Kozuka Gothic Pr6N R"/>
    <w:panose1 w:val="020B0400000000000000"/>
    <w:charset w:val="80"/>
    <w:family w:val="auto"/>
    <w:pitch w:val="default"/>
    <w:sig w:usb0="00000000" w:usb1="00000000" w:usb2="00000016" w:usb3="00000000" w:csb0="2002009F" w:csb1="00000000"/>
  </w:font>
  <w:font w:name="t">
    <w:altName w:val="Segoe Print"/>
    <w:panose1 w:val="00000000000000000000"/>
    <w:charset w:val="00"/>
    <w:family w:val="auto"/>
    <w:pitch w:val="default"/>
    <w:sig w:usb0="00000000" w:usb1="00000000" w:usb2="00000000" w:usb3="00000000" w:csb0="00000000" w:csb1="00000000"/>
  </w:font>
  <w:font w:name="+西文正文">
    <w:altName w:val="Segoe Print"/>
    <w:panose1 w:val="00000000000000000000"/>
    <w:charset w:val="00"/>
    <w:family w:val="auto"/>
    <w:pitch w:val="default"/>
    <w:sig w:usb0="00000000" w:usb1="00000000" w:usb2="00000000" w:usb3="00000000" w:csb0="00000000" w:csb1="00000000"/>
  </w:font>
  <w:font w:name="方正硬笔行书简体">
    <w:altName w:val="宋体"/>
    <w:panose1 w:val="03000509000000000000"/>
    <w:charset w:val="86"/>
    <w:family w:val="script"/>
    <w:pitch w:val="default"/>
    <w:sig w:usb0="00000000" w:usb1="00000000" w:usb2="00000000" w:usb3="00000000" w:csb0="00040000" w:csb1="00000000"/>
  </w:font>
  <w:font w:name="time">
    <w:altName w:val="Segoe Print"/>
    <w:panose1 w:val="00000000000000000000"/>
    <w:charset w:val="00"/>
    <w:family w:val="auto"/>
    <w:pitch w:val="default"/>
    <w:sig w:usb0="00000000" w:usb1="00000000" w:usb2="00000000" w:usb3="00000000" w:csb0="00000000" w:csb1="00000000"/>
  </w:font>
  <w:font w:name="tim">
    <w:altName w:val="Segoe Print"/>
    <w:panose1 w:val="00000000000000000000"/>
    <w:charset w:val="00"/>
    <w:family w:val="auto"/>
    <w:pitch w:val="default"/>
    <w:sig w:usb0="00000000" w:usb1="00000000" w:usb2="00000000" w:usb3="00000000" w:csb0="00000000" w:csb1="00000000"/>
  </w:font>
  <w:font w:name="ti">
    <w:altName w:val="Segoe Print"/>
    <w:panose1 w:val="00000000000000000000"/>
    <w:charset w:val="00"/>
    <w:family w:val="auto"/>
    <w:pitch w:val="default"/>
    <w:sig w:usb0="00000000" w:usb1="00000000" w:usb2="00000000" w:usb3="00000000" w:csb0="00000000" w:csb1="00000000"/>
  </w:font>
  <w:font w:name="-apple-system">
    <w:altName w:val="Segoe Print"/>
    <w:panose1 w:val="00000000000000000000"/>
    <w:charset w:val="00"/>
    <w:family w:val="auto"/>
    <w:pitch w:val="default"/>
    <w:sig w:usb0="00000000" w:usb1="00000000" w:usb2="00000000" w:usb3="00000000" w:csb0="00000000" w:csb1="00000000"/>
  </w:font>
  <w:font w:name="方正隶变_GBK">
    <w:altName w:val="宋体"/>
    <w:panose1 w:val="03000509000000000000"/>
    <w:charset w:val="86"/>
    <w:family w:val="auto"/>
    <w:pitch w:val="default"/>
    <w:sig w:usb0="00000000" w:usb1="00000000" w:usb2="00000000" w:usb3="00000000" w:csb0="00040000" w:csb1="00000000"/>
  </w:font>
  <w:font w:name="iconfont">
    <w:altName w:val="Segoe Print"/>
    <w:panose1 w:val="00000000000000000000"/>
    <w:charset w:val="00"/>
    <w:family w:val="auto"/>
    <w:pitch w:val="default"/>
    <w:sig w:usb0="00000000" w:usb1="00000000" w:usb2="00000000" w:usb3="00000000" w:csb0="00000000" w:csb1="00000000"/>
  </w:font>
  <w:font w:name="Glyphicons Halflings">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roman"/>
    <w:pitch w:val="default"/>
    <w:sig w:usb0="00000000" w:usb1="00000000" w:usb2="00000000" w:usb3="00000000" w:csb0="80000000" w:csb1="00000000"/>
  </w:font>
  <w:font w:name="+中正文">
    <w:altName w:val="Segoe Print"/>
    <w:panose1 w:val="00000000000000000000"/>
    <w:charset w:val="00"/>
    <w:family w:val="auto"/>
    <w:pitch w:val="default"/>
    <w:sig w:usb0="00000000" w:usb1="00000000" w:usb2="00000000" w:usb3="00000000" w:csb0="00000000" w:csb1="00000000"/>
  </w:font>
  <w:font w:name="+中正">
    <w:altName w:val="Segoe Print"/>
    <w:panose1 w:val="00000000000000000000"/>
    <w:charset w:val="00"/>
    <w:family w:val="auto"/>
    <w:pitch w:val="default"/>
    <w:sig w:usb0="00000000" w:usb1="00000000" w:usb2="00000000" w:usb3="00000000" w:csb0="00000000" w:csb1="00000000"/>
  </w:font>
  <w:font w:name="+中">
    <w:altName w:val="Segoe Print"/>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0" w:csb1="00000000"/>
  </w:font>
  <w:font w:name="宋体中文">
    <w:altName w:val="宋体"/>
    <w:panose1 w:val="00000000000000000000"/>
    <w:charset w:val="00"/>
    <w:family w:val="auto"/>
    <w:pitch w:val="default"/>
    <w:sig w:usb0="00000000" w:usb1="00000000" w:usb2="00000000" w:usb3="00000000" w:csb0="00000000" w:csb1="00000000"/>
  </w:font>
  <w:font w:name="宋体中">
    <w:altName w:val="宋体"/>
    <w:panose1 w:val="00000000000000000000"/>
    <w:charset w:val="00"/>
    <w:family w:val="auto"/>
    <w:pitch w:val="default"/>
    <w:sig w:usb0="00000000" w:usb1="00000000" w:usb2="00000000" w:usb3="00000000" w:csb0="00000000" w:csb1="00000000"/>
  </w:font>
  <w:font w:name="宋体正文">
    <w:altName w:val="宋体"/>
    <w:panose1 w:val="00000000000000000000"/>
    <w:charset w:val="00"/>
    <w:family w:val="auto"/>
    <w:pitch w:val="default"/>
    <w:sig w:usb0="00000000" w:usb1="00000000" w:usb2="00000000" w:usb3="00000000" w:csb0="00000000" w:csb1="00000000"/>
  </w:font>
  <w:font w:name="+中文正">
    <w:altName w:val="Segoe Print"/>
    <w:panose1 w:val="00000000000000000000"/>
    <w:charset w:val="00"/>
    <w:family w:val="auto"/>
    <w:pitch w:val="default"/>
    <w:sig w:usb0="00000000" w:usb1="00000000" w:usb2="00000000" w:usb3="00000000" w:csb0="00000000" w:csb1="00000000"/>
  </w:font>
  <w:font w:name="+中文">
    <w:altName w:val="Segoe Print"/>
    <w:panose1 w:val="00000000000000000000"/>
    <w:charset w:val="00"/>
    <w:family w:val="auto"/>
    <w:pitch w:val="default"/>
    <w:sig w:usb0="00000000" w:usb1="00000000" w:usb2="00000000" w:usb3="00000000" w:csb0="00000000" w:csb1="00000000"/>
  </w:font>
  <w:font w:name="Meiryo UI">
    <w:panose1 w:val="020B0604030504040204"/>
    <w:charset w:val="80"/>
    <w:family w:val="auto"/>
    <w:pitch w:val="default"/>
    <w:sig w:usb0="E10102FF" w:usb1="EAC7FFFF" w:usb2="00010012" w:usb3="00000000" w:csb0="6002009F" w:csb1="DFD70000"/>
  </w:font>
  <w:font w:name="Yu Gothic UI">
    <w:altName w:val="Meiryo UI"/>
    <w:panose1 w:val="020B0500000000000000"/>
    <w:charset w:val="80"/>
    <w:family w:val="auto"/>
    <w:pitch w:val="default"/>
    <w:sig w:usb0="00000000" w:usb1="00000000" w:usb2="00000016" w:usb3="00000000" w:csb0="2002009F" w:csb1="00000000"/>
  </w:font>
  <w:font w:name="MS UI Gothic">
    <w:panose1 w:val="020B0600070205080204"/>
    <w:charset w:val="80"/>
    <w:family w:val="auto"/>
    <w:pitch w:val="default"/>
    <w:sig w:usb0="E00002FF" w:usb1="6AC7FDFB" w:usb2="00000012" w:usb3="00000000" w:csb0="4002009F" w:csb1="DFD70000"/>
  </w:font>
  <w:font w:name="Kozuka Gothic Pr6N R">
    <w:panose1 w:val="020B0400000000000000"/>
    <w:charset w:val="80"/>
    <w:family w:val="auto"/>
    <w:pitch w:val="default"/>
    <w:sig w:usb0="000002D7" w:usb1="2AC71C11" w:usb2="00000012" w:usb3="00000000" w:csb0="2002009F" w:csb1="00000000"/>
  </w:font>
  <w:font w:name="Yu Gothic UI Semilight">
    <w:altName w:val="Kozuka Gothic Pr6N R"/>
    <w:panose1 w:val="020B0400000000000000"/>
    <w:charset w:val="80"/>
    <w:family w:val="auto"/>
    <w:pitch w:val="default"/>
    <w:sig w:usb0="00000000" w:usb1="00000000"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5610"/>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5610"/>
        <w:tab w:val="clear" w:pos="4153"/>
      </w:tabs>
    </w:pPr>
    <w:r>
      <w:rPr>
        <w:lang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7"/>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5</w:t>
                    </w:r>
                    <w:r>
                      <w:rPr>
                        <w:rFonts w:hint="eastAsia"/>
                        <w:lang w:eastAsia="zh-CN"/>
                      </w:rPr>
                      <w:fldChar w:fldCharType="end"/>
                    </w:r>
                  </w:p>
                </w:txbxContent>
              </v:textbox>
            </v:shape>
          </w:pict>
        </mc:Fallback>
      </mc:AlternateContent>
    </w:r>
    <w:r>
      <w:rPr>
        <w:rFonts w:hint="eastAsia"/>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426"/>
      </w:tabs>
      <w:jc w:val="right"/>
      <w:rPr>
        <w:rFonts w:ascii="宋体" w:hAnsi="宋体" w:cs="宋体"/>
        <w:lang w:eastAsia="zh-CN"/>
      </w:rPr>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37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pStyle w:val="7"/>
                      <w:rPr>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37</w:t>
                    </w:r>
                    <w:r>
                      <w:rPr>
                        <w:rFonts w:hint="eastAsia"/>
                        <w:lang w:eastAsia="zh-CN"/>
                      </w:rPr>
                      <w:fldChar w:fldCharType="end"/>
                    </w:r>
                  </w:p>
                </w:txbxContent>
              </v:textbox>
            </v:shape>
          </w:pict>
        </mc:Fallback>
      </mc:AlternateContent>
    </w:r>
    <w:r>
      <w:rPr>
        <w:rFonts w:hint="eastAsia" w:ascii="宋体" w:hAnsi="宋体" w:cs="宋体"/>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仿宋"/>
        <w:lang w:eastAsia="zh-CN" w:bidi="ar-SA"/>
      </w:rPr>
    </w:pPr>
    <w:r>
      <w:rPr>
        <w:rFonts w:hint="eastAsia"/>
        <w:lang w:eastAsia="zh-CN" w:bidi="ar-SA"/>
      </w:rPr>
      <w:t xml:space="preserve">                                  </w:t>
    </w:r>
    <w:r>
      <w:rPr>
        <w:rFonts w:hint="eastAsia" w:asciiTheme="minorEastAsia" w:hAnsiTheme="minorEastAsia" w:eastAsiaTheme="minorEastAsia" w:cstheme="minorEastAsia"/>
        <w:lang w:eastAsia="zh-CN" w:bidi="ar-S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rPr>
        <w:rFonts w:eastAsia="仿宋"/>
        <w:lang w:eastAsia="zh-CN" w:bidi="ar-SA"/>
      </w:rPr>
    </w:pPr>
    <w:r>
      <w:rPr>
        <w:lang w:eastAsia="zh-CN" w:bidi="ar-SA"/>
      </w:rPr>
      <w:drawing>
        <wp:inline distT="0" distB="0" distL="0" distR="0">
          <wp:extent cx="389890" cy="236220"/>
          <wp:effectExtent l="0" t="0" r="10160" b="11430"/>
          <wp:docPr id="10"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lang w:eastAsia="zh-CN" w:bidi="ar-SA"/>
      </w:rPr>
      <w:t xml:space="preserve">                                  </w:t>
    </w:r>
    <w:r>
      <w:rPr>
        <w:rFonts w:hint="eastAsia" w:asciiTheme="minorEastAsia" w:hAnsiTheme="minorEastAsia" w:eastAsiaTheme="minorEastAsia" w:cstheme="minorEastAsia"/>
        <w:lang w:eastAsia="zh-CN" w:bidi="ar-SA"/>
      </w:rPr>
      <w:t xml:space="preserve"> 忻州市政务服务中心业务用房建设工程项目绩效评价报告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eastAsia="仿宋"/>
        <w:lang w:eastAsia="zh-CN" w:bidi="ar-SA"/>
      </w:rPr>
    </w:pPr>
    <w:r>
      <w:rPr>
        <w:lang w:eastAsia="zh-CN" w:bidi="ar-SA"/>
      </w:rPr>
      <w:drawing>
        <wp:inline distT="0" distB="0" distL="0" distR="0">
          <wp:extent cx="389890" cy="236220"/>
          <wp:effectExtent l="0" t="0" r="10160" b="11430"/>
          <wp:docPr id="1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lang w:eastAsia="zh-CN" w:bidi="ar-SA"/>
      </w:rPr>
      <w:t xml:space="preserve">                                   </w:t>
    </w:r>
    <w:r>
      <w:rPr>
        <w:rFonts w:hint="eastAsia" w:asciiTheme="minorEastAsia" w:hAnsiTheme="minorEastAsia" w:eastAsiaTheme="minorEastAsia" w:cstheme="minorEastAsia"/>
        <w:lang w:eastAsia="zh-CN" w:bidi="ar-SA"/>
      </w:rPr>
      <w:t>忻州市政务服务中心业务用房建设工程项目绩效评价报告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697A"/>
    <w:multiLevelType w:val="singleLevel"/>
    <w:tmpl w:val="8CDE697A"/>
    <w:lvl w:ilvl="0" w:tentative="0">
      <w:start w:val="4"/>
      <w:numFmt w:val="decimal"/>
      <w:suff w:val="nothing"/>
      <w:lvlText w:val="（%1）"/>
      <w:lvlJc w:val="left"/>
    </w:lvl>
  </w:abstractNum>
  <w:abstractNum w:abstractNumId="1">
    <w:nsid w:val="8E2278C0"/>
    <w:multiLevelType w:val="singleLevel"/>
    <w:tmpl w:val="8E2278C0"/>
    <w:lvl w:ilvl="0" w:tentative="0">
      <w:start w:val="1"/>
      <w:numFmt w:val="upperLetter"/>
      <w:lvlText w:val="%1."/>
      <w:lvlJc w:val="left"/>
      <w:pPr>
        <w:tabs>
          <w:tab w:val="left" w:pos="312"/>
        </w:tabs>
      </w:pPr>
    </w:lvl>
  </w:abstractNum>
  <w:abstractNum w:abstractNumId="2">
    <w:nsid w:val="58DF1407"/>
    <w:multiLevelType w:val="singleLevel"/>
    <w:tmpl w:val="58DF1407"/>
    <w:lvl w:ilvl="0" w:tentative="0">
      <w:start w:val="1"/>
      <w:numFmt w:val="decimal"/>
      <w:suff w:val="nothing"/>
      <w:lvlText w:val="%1."/>
      <w:lvlJc w:val="left"/>
    </w:lvl>
  </w:abstractNum>
  <w:abstractNum w:abstractNumId="3">
    <w:nsid w:val="5A8E5D91"/>
    <w:multiLevelType w:val="singleLevel"/>
    <w:tmpl w:val="5A8E5D91"/>
    <w:lvl w:ilvl="0" w:tentative="0">
      <w:start w:val="2"/>
      <w:numFmt w:val="decimal"/>
      <w:suff w:val="nothing"/>
      <w:lvlText w:val="%1."/>
      <w:lvlJc w:val="left"/>
    </w:lvl>
  </w:abstractNum>
  <w:abstractNum w:abstractNumId="4">
    <w:nsid w:val="5A8E66A7"/>
    <w:multiLevelType w:val="singleLevel"/>
    <w:tmpl w:val="5A8E66A7"/>
    <w:lvl w:ilvl="0" w:tentative="0">
      <w:start w:val="1"/>
      <w:numFmt w:val="decimal"/>
      <w:suff w:val="nothing"/>
      <w:lvlText w:val="%1."/>
      <w:lvlJc w:val="left"/>
    </w:lvl>
  </w:abstractNum>
  <w:abstractNum w:abstractNumId="5">
    <w:nsid w:val="5A8E8073"/>
    <w:multiLevelType w:val="singleLevel"/>
    <w:tmpl w:val="5A8E8073"/>
    <w:lvl w:ilvl="0" w:tentative="0">
      <w:start w:val="1"/>
      <w:numFmt w:val="decimal"/>
      <w:suff w:val="nothing"/>
      <w:lvlText w:val="（%1）"/>
      <w:lvlJc w:val="left"/>
    </w:lvl>
  </w:abstractNum>
  <w:abstractNum w:abstractNumId="6">
    <w:nsid w:val="5A8E8428"/>
    <w:multiLevelType w:val="singleLevel"/>
    <w:tmpl w:val="5A8E8428"/>
    <w:lvl w:ilvl="0" w:tentative="0">
      <w:start w:val="2"/>
      <w:numFmt w:val="decimal"/>
      <w:suff w:val="nothing"/>
      <w:lvlText w:val="（%1）"/>
      <w:lvlJc w:val="left"/>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25168"/>
    <w:rsid w:val="00046ABD"/>
    <w:rsid w:val="00064877"/>
    <w:rsid w:val="00090246"/>
    <w:rsid w:val="000A0D56"/>
    <w:rsid w:val="000A499C"/>
    <w:rsid w:val="000E6749"/>
    <w:rsid w:val="00227F9A"/>
    <w:rsid w:val="002D323A"/>
    <w:rsid w:val="002E4B9B"/>
    <w:rsid w:val="00350615"/>
    <w:rsid w:val="00406CCA"/>
    <w:rsid w:val="0056270A"/>
    <w:rsid w:val="00630951"/>
    <w:rsid w:val="006936B1"/>
    <w:rsid w:val="006A55E2"/>
    <w:rsid w:val="006F2EBA"/>
    <w:rsid w:val="007249BF"/>
    <w:rsid w:val="007E59ED"/>
    <w:rsid w:val="00892CD1"/>
    <w:rsid w:val="0089692A"/>
    <w:rsid w:val="008D7D77"/>
    <w:rsid w:val="00920BA0"/>
    <w:rsid w:val="009251EC"/>
    <w:rsid w:val="00941F11"/>
    <w:rsid w:val="0097060C"/>
    <w:rsid w:val="009C4574"/>
    <w:rsid w:val="00A77FF5"/>
    <w:rsid w:val="00DF7588"/>
    <w:rsid w:val="00E22F75"/>
    <w:rsid w:val="00F21651"/>
    <w:rsid w:val="00F732E3"/>
    <w:rsid w:val="00F770B5"/>
    <w:rsid w:val="00FB2AF9"/>
    <w:rsid w:val="00FE48C0"/>
    <w:rsid w:val="011E1B98"/>
    <w:rsid w:val="0128372B"/>
    <w:rsid w:val="01324931"/>
    <w:rsid w:val="013A4EE6"/>
    <w:rsid w:val="01672CAF"/>
    <w:rsid w:val="01C7173F"/>
    <w:rsid w:val="01DB5612"/>
    <w:rsid w:val="01EE7456"/>
    <w:rsid w:val="0219149D"/>
    <w:rsid w:val="021F5413"/>
    <w:rsid w:val="0225664A"/>
    <w:rsid w:val="02590CA0"/>
    <w:rsid w:val="025B78F0"/>
    <w:rsid w:val="025F0D75"/>
    <w:rsid w:val="02BE1375"/>
    <w:rsid w:val="02DA0635"/>
    <w:rsid w:val="02EB5CFD"/>
    <w:rsid w:val="0311768E"/>
    <w:rsid w:val="043B6A28"/>
    <w:rsid w:val="044C2092"/>
    <w:rsid w:val="045A7D6B"/>
    <w:rsid w:val="048F1D66"/>
    <w:rsid w:val="049134F0"/>
    <w:rsid w:val="04A558B4"/>
    <w:rsid w:val="04A82DC1"/>
    <w:rsid w:val="04B00B61"/>
    <w:rsid w:val="054E70C0"/>
    <w:rsid w:val="055F5635"/>
    <w:rsid w:val="057D40B3"/>
    <w:rsid w:val="05977D1E"/>
    <w:rsid w:val="05C35FB2"/>
    <w:rsid w:val="05F17785"/>
    <w:rsid w:val="06010EF7"/>
    <w:rsid w:val="06017092"/>
    <w:rsid w:val="0628480C"/>
    <w:rsid w:val="06787387"/>
    <w:rsid w:val="069A2A5F"/>
    <w:rsid w:val="06F17437"/>
    <w:rsid w:val="07512E1A"/>
    <w:rsid w:val="0758277A"/>
    <w:rsid w:val="0763702C"/>
    <w:rsid w:val="07776C03"/>
    <w:rsid w:val="07943207"/>
    <w:rsid w:val="07977A1D"/>
    <w:rsid w:val="07BA72C5"/>
    <w:rsid w:val="07FA0EC4"/>
    <w:rsid w:val="080E7630"/>
    <w:rsid w:val="084F46AA"/>
    <w:rsid w:val="08543D22"/>
    <w:rsid w:val="085F1BE6"/>
    <w:rsid w:val="08783543"/>
    <w:rsid w:val="087D581E"/>
    <w:rsid w:val="08942DE5"/>
    <w:rsid w:val="08CD13D9"/>
    <w:rsid w:val="08D35716"/>
    <w:rsid w:val="08DF3D4C"/>
    <w:rsid w:val="08DF4E16"/>
    <w:rsid w:val="09081162"/>
    <w:rsid w:val="09156DF7"/>
    <w:rsid w:val="091F1D1D"/>
    <w:rsid w:val="094B724A"/>
    <w:rsid w:val="09A51C51"/>
    <w:rsid w:val="09B142D7"/>
    <w:rsid w:val="09DC73F0"/>
    <w:rsid w:val="0A183EED"/>
    <w:rsid w:val="0A1D7CC2"/>
    <w:rsid w:val="0A1E2FDF"/>
    <w:rsid w:val="0A20567E"/>
    <w:rsid w:val="0A233FC1"/>
    <w:rsid w:val="0A646611"/>
    <w:rsid w:val="0AEC715A"/>
    <w:rsid w:val="0B000CD9"/>
    <w:rsid w:val="0B11234B"/>
    <w:rsid w:val="0B163EE1"/>
    <w:rsid w:val="0B1E393B"/>
    <w:rsid w:val="0B2C6235"/>
    <w:rsid w:val="0B904C51"/>
    <w:rsid w:val="0BC02E85"/>
    <w:rsid w:val="0BF96503"/>
    <w:rsid w:val="0C045D56"/>
    <w:rsid w:val="0C1712D2"/>
    <w:rsid w:val="0C72225B"/>
    <w:rsid w:val="0C7C498C"/>
    <w:rsid w:val="0CAE021D"/>
    <w:rsid w:val="0CD85906"/>
    <w:rsid w:val="0D094500"/>
    <w:rsid w:val="0D390078"/>
    <w:rsid w:val="0D407AFC"/>
    <w:rsid w:val="0D5C38AF"/>
    <w:rsid w:val="0D5C5209"/>
    <w:rsid w:val="0D6A074A"/>
    <w:rsid w:val="0D9400CA"/>
    <w:rsid w:val="0D95338A"/>
    <w:rsid w:val="0DAF377D"/>
    <w:rsid w:val="0DD17DF8"/>
    <w:rsid w:val="0DE144F2"/>
    <w:rsid w:val="0DE14C0E"/>
    <w:rsid w:val="0E0D735B"/>
    <w:rsid w:val="0E0F37DF"/>
    <w:rsid w:val="0E4C6EA8"/>
    <w:rsid w:val="0E592967"/>
    <w:rsid w:val="0E8D1416"/>
    <w:rsid w:val="0EC551F6"/>
    <w:rsid w:val="0ECC1DBC"/>
    <w:rsid w:val="0EDE4F98"/>
    <w:rsid w:val="0EE609BB"/>
    <w:rsid w:val="0F24623F"/>
    <w:rsid w:val="0F971CB6"/>
    <w:rsid w:val="0F995172"/>
    <w:rsid w:val="0FAA7644"/>
    <w:rsid w:val="0FE633B9"/>
    <w:rsid w:val="0FF34214"/>
    <w:rsid w:val="102037C7"/>
    <w:rsid w:val="104F6D91"/>
    <w:rsid w:val="107B08E7"/>
    <w:rsid w:val="108129CF"/>
    <w:rsid w:val="108A541C"/>
    <w:rsid w:val="10D43499"/>
    <w:rsid w:val="10E1361A"/>
    <w:rsid w:val="115238A9"/>
    <w:rsid w:val="117957AA"/>
    <w:rsid w:val="11B24D2F"/>
    <w:rsid w:val="11D04ABA"/>
    <w:rsid w:val="1200075F"/>
    <w:rsid w:val="120E273C"/>
    <w:rsid w:val="12622BFE"/>
    <w:rsid w:val="127C03A3"/>
    <w:rsid w:val="12882485"/>
    <w:rsid w:val="129E024E"/>
    <w:rsid w:val="12CF37FE"/>
    <w:rsid w:val="12F7704F"/>
    <w:rsid w:val="132F3FE9"/>
    <w:rsid w:val="1331719C"/>
    <w:rsid w:val="135030A3"/>
    <w:rsid w:val="1372288D"/>
    <w:rsid w:val="138238F1"/>
    <w:rsid w:val="1383305B"/>
    <w:rsid w:val="13B27ED0"/>
    <w:rsid w:val="14567C11"/>
    <w:rsid w:val="145B1B98"/>
    <w:rsid w:val="146911EE"/>
    <w:rsid w:val="14790052"/>
    <w:rsid w:val="147E3026"/>
    <w:rsid w:val="149E11E2"/>
    <w:rsid w:val="14A20072"/>
    <w:rsid w:val="151E4D0D"/>
    <w:rsid w:val="15282ACF"/>
    <w:rsid w:val="155F4E4A"/>
    <w:rsid w:val="156131BA"/>
    <w:rsid w:val="1579752D"/>
    <w:rsid w:val="158B23F4"/>
    <w:rsid w:val="15916F56"/>
    <w:rsid w:val="1599702E"/>
    <w:rsid w:val="15F4493E"/>
    <w:rsid w:val="162039CB"/>
    <w:rsid w:val="162D3A5F"/>
    <w:rsid w:val="163974C8"/>
    <w:rsid w:val="167C64CF"/>
    <w:rsid w:val="167E0B68"/>
    <w:rsid w:val="16920D98"/>
    <w:rsid w:val="16935A1D"/>
    <w:rsid w:val="16CA0E6F"/>
    <w:rsid w:val="16CF7C37"/>
    <w:rsid w:val="16D661B6"/>
    <w:rsid w:val="16DD3EF0"/>
    <w:rsid w:val="16E33C65"/>
    <w:rsid w:val="16E75852"/>
    <w:rsid w:val="17200B6C"/>
    <w:rsid w:val="17214BA3"/>
    <w:rsid w:val="173B2371"/>
    <w:rsid w:val="176837B9"/>
    <w:rsid w:val="18013640"/>
    <w:rsid w:val="185C7FBE"/>
    <w:rsid w:val="1890010C"/>
    <w:rsid w:val="18AA44C3"/>
    <w:rsid w:val="18C4550D"/>
    <w:rsid w:val="18C56D68"/>
    <w:rsid w:val="18D51CF1"/>
    <w:rsid w:val="194D1832"/>
    <w:rsid w:val="1954766B"/>
    <w:rsid w:val="196147F5"/>
    <w:rsid w:val="19746031"/>
    <w:rsid w:val="19A42DC0"/>
    <w:rsid w:val="19A52A8E"/>
    <w:rsid w:val="19CD6D99"/>
    <w:rsid w:val="1A285CAC"/>
    <w:rsid w:val="1A312A93"/>
    <w:rsid w:val="1A4129F1"/>
    <w:rsid w:val="1A8A72A5"/>
    <w:rsid w:val="1AA742F8"/>
    <w:rsid w:val="1AA83F14"/>
    <w:rsid w:val="1AAE61C6"/>
    <w:rsid w:val="1B172049"/>
    <w:rsid w:val="1B2B5E8E"/>
    <w:rsid w:val="1B7D442B"/>
    <w:rsid w:val="1B8B30EA"/>
    <w:rsid w:val="1B8C7436"/>
    <w:rsid w:val="1B953754"/>
    <w:rsid w:val="1BCE5021"/>
    <w:rsid w:val="1BD63AC1"/>
    <w:rsid w:val="1BF43F05"/>
    <w:rsid w:val="1BFB5114"/>
    <w:rsid w:val="1C924919"/>
    <w:rsid w:val="1CAA4FBE"/>
    <w:rsid w:val="1CEF2C7A"/>
    <w:rsid w:val="1CFA5B47"/>
    <w:rsid w:val="1D133894"/>
    <w:rsid w:val="1D2A4762"/>
    <w:rsid w:val="1D2C50A0"/>
    <w:rsid w:val="1D3821BA"/>
    <w:rsid w:val="1D3C4BF7"/>
    <w:rsid w:val="1D4415ED"/>
    <w:rsid w:val="1D474236"/>
    <w:rsid w:val="1E177143"/>
    <w:rsid w:val="1EC14CEB"/>
    <w:rsid w:val="1EEC2023"/>
    <w:rsid w:val="1F3C622D"/>
    <w:rsid w:val="1F46595A"/>
    <w:rsid w:val="1F4D1E5E"/>
    <w:rsid w:val="1F7255C3"/>
    <w:rsid w:val="1F801115"/>
    <w:rsid w:val="20211935"/>
    <w:rsid w:val="20383C15"/>
    <w:rsid w:val="20465C6A"/>
    <w:rsid w:val="205B428B"/>
    <w:rsid w:val="20AD68FB"/>
    <w:rsid w:val="20F35D3F"/>
    <w:rsid w:val="211362B6"/>
    <w:rsid w:val="21233826"/>
    <w:rsid w:val="21331949"/>
    <w:rsid w:val="21603D8C"/>
    <w:rsid w:val="21725168"/>
    <w:rsid w:val="217B231F"/>
    <w:rsid w:val="21AE006A"/>
    <w:rsid w:val="21C37943"/>
    <w:rsid w:val="21E4327B"/>
    <w:rsid w:val="22212946"/>
    <w:rsid w:val="22396E68"/>
    <w:rsid w:val="223B1F36"/>
    <w:rsid w:val="22991FB9"/>
    <w:rsid w:val="22B517CD"/>
    <w:rsid w:val="22D9706C"/>
    <w:rsid w:val="22DA4382"/>
    <w:rsid w:val="22E62362"/>
    <w:rsid w:val="23212CB7"/>
    <w:rsid w:val="233B778A"/>
    <w:rsid w:val="236B17C8"/>
    <w:rsid w:val="23792FED"/>
    <w:rsid w:val="23DA14B0"/>
    <w:rsid w:val="23EA0B54"/>
    <w:rsid w:val="241969A7"/>
    <w:rsid w:val="241E2F46"/>
    <w:rsid w:val="24352ABA"/>
    <w:rsid w:val="243A56FE"/>
    <w:rsid w:val="24603DBB"/>
    <w:rsid w:val="248F1796"/>
    <w:rsid w:val="24AF220D"/>
    <w:rsid w:val="251A5B9F"/>
    <w:rsid w:val="25200F94"/>
    <w:rsid w:val="2530112A"/>
    <w:rsid w:val="25805857"/>
    <w:rsid w:val="258F347C"/>
    <w:rsid w:val="25B622CE"/>
    <w:rsid w:val="25C23E18"/>
    <w:rsid w:val="2606350B"/>
    <w:rsid w:val="26117C84"/>
    <w:rsid w:val="261E0824"/>
    <w:rsid w:val="2652182A"/>
    <w:rsid w:val="26601141"/>
    <w:rsid w:val="26902742"/>
    <w:rsid w:val="26C25CF1"/>
    <w:rsid w:val="26F71F48"/>
    <w:rsid w:val="272D572C"/>
    <w:rsid w:val="27892D2A"/>
    <w:rsid w:val="27C66587"/>
    <w:rsid w:val="28362FBF"/>
    <w:rsid w:val="285016BC"/>
    <w:rsid w:val="28536D9F"/>
    <w:rsid w:val="285D0225"/>
    <w:rsid w:val="288717EB"/>
    <w:rsid w:val="28B23FDC"/>
    <w:rsid w:val="28D450F5"/>
    <w:rsid w:val="28FA007A"/>
    <w:rsid w:val="292B6D56"/>
    <w:rsid w:val="29417FF9"/>
    <w:rsid w:val="29E72518"/>
    <w:rsid w:val="29F10A05"/>
    <w:rsid w:val="2A297DB7"/>
    <w:rsid w:val="2A7D2267"/>
    <w:rsid w:val="2AAA2534"/>
    <w:rsid w:val="2AD07EF8"/>
    <w:rsid w:val="2AE27223"/>
    <w:rsid w:val="2AE54AFA"/>
    <w:rsid w:val="2B0F4199"/>
    <w:rsid w:val="2B132D47"/>
    <w:rsid w:val="2B1948D6"/>
    <w:rsid w:val="2B3E4053"/>
    <w:rsid w:val="2B833E68"/>
    <w:rsid w:val="2BA4455F"/>
    <w:rsid w:val="2BA6247C"/>
    <w:rsid w:val="2BEC3CF9"/>
    <w:rsid w:val="2C002597"/>
    <w:rsid w:val="2C2276B8"/>
    <w:rsid w:val="2C262099"/>
    <w:rsid w:val="2C2C6B4E"/>
    <w:rsid w:val="2C882855"/>
    <w:rsid w:val="2C8D7301"/>
    <w:rsid w:val="2D050DD1"/>
    <w:rsid w:val="2D563408"/>
    <w:rsid w:val="2D62452D"/>
    <w:rsid w:val="2D6B73A7"/>
    <w:rsid w:val="2D83291D"/>
    <w:rsid w:val="2DB85C2A"/>
    <w:rsid w:val="2DC21388"/>
    <w:rsid w:val="2DF1797F"/>
    <w:rsid w:val="2E013584"/>
    <w:rsid w:val="2E47204E"/>
    <w:rsid w:val="2E4904D9"/>
    <w:rsid w:val="2EA00778"/>
    <w:rsid w:val="2EA77779"/>
    <w:rsid w:val="2EBD581B"/>
    <w:rsid w:val="2ECC07EE"/>
    <w:rsid w:val="2F604C69"/>
    <w:rsid w:val="2F71599E"/>
    <w:rsid w:val="2F7664BB"/>
    <w:rsid w:val="2F8A1934"/>
    <w:rsid w:val="2F8B0E16"/>
    <w:rsid w:val="2FB9459D"/>
    <w:rsid w:val="2FD36F63"/>
    <w:rsid w:val="2FE708FE"/>
    <w:rsid w:val="2FE81455"/>
    <w:rsid w:val="2FF802D7"/>
    <w:rsid w:val="30045DC3"/>
    <w:rsid w:val="3047605E"/>
    <w:rsid w:val="30644923"/>
    <w:rsid w:val="306F7212"/>
    <w:rsid w:val="30A44AB8"/>
    <w:rsid w:val="30B17422"/>
    <w:rsid w:val="30DB1EF5"/>
    <w:rsid w:val="30EA1EBE"/>
    <w:rsid w:val="31162845"/>
    <w:rsid w:val="313B6C24"/>
    <w:rsid w:val="31576219"/>
    <w:rsid w:val="31692A64"/>
    <w:rsid w:val="317F3EE5"/>
    <w:rsid w:val="31DE1605"/>
    <w:rsid w:val="320C28F0"/>
    <w:rsid w:val="32164522"/>
    <w:rsid w:val="323E6EE9"/>
    <w:rsid w:val="329D3632"/>
    <w:rsid w:val="32A90D41"/>
    <w:rsid w:val="32B43AD8"/>
    <w:rsid w:val="330A22F1"/>
    <w:rsid w:val="331C593A"/>
    <w:rsid w:val="335E69B6"/>
    <w:rsid w:val="337F50FD"/>
    <w:rsid w:val="339D3920"/>
    <w:rsid w:val="33AD67E2"/>
    <w:rsid w:val="343F773C"/>
    <w:rsid w:val="34560A36"/>
    <w:rsid w:val="34DE0E44"/>
    <w:rsid w:val="34DE620C"/>
    <w:rsid w:val="34E11823"/>
    <w:rsid w:val="34E73127"/>
    <w:rsid w:val="34F02BEC"/>
    <w:rsid w:val="351021D5"/>
    <w:rsid w:val="35366BD5"/>
    <w:rsid w:val="354922FB"/>
    <w:rsid w:val="354D15AD"/>
    <w:rsid w:val="35A712EF"/>
    <w:rsid w:val="35AE7A5D"/>
    <w:rsid w:val="35C73F2C"/>
    <w:rsid w:val="36542C11"/>
    <w:rsid w:val="36B04355"/>
    <w:rsid w:val="36D679C3"/>
    <w:rsid w:val="3727748D"/>
    <w:rsid w:val="372B50BE"/>
    <w:rsid w:val="375C3466"/>
    <w:rsid w:val="37DD253D"/>
    <w:rsid w:val="38270D74"/>
    <w:rsid w:val="38332EDE"/>
    <w:rsid w:val="383942E9"/>
    <w:rsid w:val="3840127C"/>
    <w:rsid w:val="38576AAD"/>
    <w:rsid w:val="38873587"/>
    <w:rsid w:val="389549B8"/>
    <w:rsid w:val="38A80167"/>
    <w:rsid w:val="38AF3B9D"/>
    <w:rsid w:val="38DB6A2D"/>
    <w:rsid w:val="392B245C"/>
    <w:rsid w:val="393278B8"/>
    <w:rsid w:val="395E3E43"/>
    <w:rsid w:val="39B7235C"/>
    <w:rsid w:val="3A3A2BC3"/>
    <w:rsid w:val="3A4145CA"/>
    <w:rsid w:val="3A722B8C"/>
    <w:rsid w:val="3AA92E5C"/>
    <w:rsid w:val="3AFF3AD5"/>
    <w:rsid w:val="3B393A85"/>
    <w:rsid w:val="3B5A39EC"/>
    <w:rsid w:val="3BA803FE"/>
    <w:rsid w:val="3BB158CA"/>
    <w:rsid w:val="3BEF3933"/>
    <w:rsid w:val="3C0F66B0"/>
    <w:rsid w:val="3C1644BE"/>
    <w:rsid w:val="3C293F18"/>
    <w:rsid w:val="3C2A3582"/>
    <w:rsid w:val="3C6749E3"/>
    <w:rsid w:val="3C7D7518"/>
    <w:rsid w:val="3CB017CB"/>
    <w:rsid w:val="3CB95502"/>
    <w:rsid w:val="3CE97927"/>
    <w:rsid w:val="3D0D06BF"/>
    <w:rsid w:val="3D3F5615"/>
    <w:rsid w:val="3D6F2B27"/>
    <w:rsid w:val="3D913D7C"/>
    <w:rsid w:val="3DBA3A76"/>
    <w:rsid w:val="3DD23B7D"/>
    <w:rsid w:val="3E0E0337"/>
    <w:rsid w:val="3E58679D"/>
    <w:rsid w:val="3E720AFD"/>
    <w:rsid w:val="3E8F02BD"/>
    <w:rsid w:val="3EB1497E"/>
    <w:rsid w:val="3EB7555F"/>
    <w:rsid w:val="3EC55DC8"/>
    <w:rsid w:val="3ED81438"/>
    <w:rsid w:val="3EE23591"/>
    <w:rsid w:val="3F04768B"/>
    <w:rsid w:val="3F324F38"/>
    <w:rsid w:val="3F6D64BF"/>
    <w:rsid w:val="3F715F34"/>
    <w:rsid w:val="3F716B7A"/>
    <w:rsid w:val="3F82566C"/>
    <w:rsid w:val="3F9906C8"/>
    <w:rsid w:val="3FC73AD3"/>
    <w:rsid w:val="401E392E"/>
    <w:rsid w:val="402C16BD"/>
    <w:rsid w:val="4041279C"/>
    <w:rsid w:val="408300D0"/>
    <w:rsid w:val="408A4CFD"/>
    <w:rsid w:val="40A44E93"/>
    <w:rsid w:val="40A74610"/>
    <w:rsid w:val="40A76A1B"/>
    <w:rsid w:val="40B852FC"/>
    <w:rsid w:val="40EE3E75"/>
    <w:rsid w:val="41394675"/>
    <w:rsid w:val="41642F9B"/>
    <w:rsid w:val="41655501"/>
    <w:rsid w:val="417730F8"/>
    <w:rsid w:val="417E78AB"/>
    <w:rsid w:val="41B4414B"/>
    <w:rsid w:val="41B92B3A"/>
    <w:rsid w:val="41E440C5"/>
    <w:rsid w:val="42064FA4"/>
    <w:rsid w:val="424D6D26"/>
    <w:rsid w:val="425E0514"/>
    <w:rsid w:val="42906CE6"/>
    <w:rsid w:val="42AE0F89"/>
    <w:rsid w:val="42BE5E0A"/>
    <w:rsid w:val="430A4D8F"/>
    <w:rsid w:val="430E5913"/>
    <w:rsid w:val="435B03B9"/>
    <w:rsid w:val="438C3FE6"/>
    <w:rsid w:val="438E7824"/>
    <w:rsid w:val="43A863F9"/>
    <w:rsid w:val="43B10991"/>
    <w:rsid w:val="43E54F56"/>
    <w:rsid w:val="4401777F"/>
    <w:rsid w:val="4447569B"/>
    <w:rsid w:val="44741562"/>
    <w:rsid w:val="44A81F05"/>
    <w:rsid w:val="44CF6A8E"/>
    <w:rsid w:val="44DF6401"/>
    <w:rsid w:val="44F113CD"/>
    <w:rsid w:val="454525E9"/>
    <w:rsid w:val="45553168"/>
    <w:rsid w:val="456A4156"/>
    <w:rsid w:val="4588204B"/>
    <w:rsid w:val="45977C76"/>
    <w:rsid w:val="459B3460"/>
    <w:rsid w:val="45AB3E63"/>
    <w:rsid w:val="45EC3B8C"/>
    <w:rsid w:val="460D03C8"/>
    <w:rsid w:val="4610121F"/>
    <w:rsid w:val="46134A48"/>
    <w:rsid w:val="46156D50"/>
    <w:rsid w:val="46446655"/>
    <w:rsid w:val="464E4D00"/>
    <w:rsid w:val="46505468"/>
    <w:rsid w:val="4667395C"/>
    <w:rsid w:val="46723651"/>
    <w:rsid w:val="467338DE"/>
    <w:rsid w:val="46922FC5"/>
    <w:rsid w:val="469B5A2F"/>
    <w:rsid w:val="46B94619"/>
    <w:rsid w:val="46BC33C7"/>
    <w:rsid w:val="46F143B7"/>
    <w:rsid w:val="46F63E2F"/>
    <w:rsid w:val="46F9224D"/>
    <w:rsid w:val="47067933"/>
    <w:rsid w:val="471F136E"/>
    <w:rsid w:val="4746781A"/>
    <w:rsid w:val="47592EAA"/>
    <w:rsid w:val="476E2F0D"/>
    <w:rsid w:val="47724684"/>
    <w:rsid w:val="47AE7A6A"/>
    <w:rsid w:val="47D87648"/>
    <w:rsid w:val="48187D87"/>
    <w:rsid w:val="48270A50"/>
    <w:rsid w:val="486C2EA3"/>
    <w:rsid w:val="488D7C0A"/>
    <w:rsid w:val="489F3767"/>
    <w:rsid w:val="48EA3935"/>
    <w:rsid w:val="4916379A"/>
    <w:rsid w:val="492A4D4C"/>
    <w:rsid w:val="49860955"/>
    <w:rsid w:val="49A765F0"/>
    <w:rsid w:val="4A0B654C"/>
    <w:rsid w:val="4A350DC4"/>
    <w:rsid w:val="4A580DF1"/>
    <w:rsid w:val="4A594FFE"/>
    <w:rsid w:val="4A9E269C"/>
    <w:rsid w:val="4AA87A96"/>
    <w:rsid w:val="4B015878"/>
    <w:rsid w:val="4B0926E9"/>
    <w:rsid w:val="4B121964"/>
    <w:rsid w:val="4B2278EC"/>
    <w:rsid w:val="4B2D74CC"/>
    <w:rsid w:val="4B395729"/>
    <w:rsid w:val="4B5E122B"/>
    <w:rsid w:val="4B9052EF"/>
    <w:rsid w:val="4B996033"/>
    <w:rsid w:val="4BA23872"/>
    <w:rsid w:val="4BB46CFC"/>
    <w:rsid w:val="4CCE111D"/>
    <w:rsid w:val="4CD56A39"/>
    <w:rsid w:val="4CE36F57"/>
    <w:rsid w:val="4D012BBE"/>
    <w:rsid w:val="4D013E6D"/>
    <w:rsid w:val="4D05683E"/>
    <w:rsid w:val="4D6B5207"/>
    <w:rsid w:val="4D703EBE"/>
    <w:rsid w:val="4DA66FF8"/>
    <w:rsid w:val="4DF46960"/>
    <w:rsid w:val="4E0C72D7"/>
    <w:rsid w:val="4E1F51C1"/>
    <w:rsid w:val="4E3178BA"/>
    <w:rsid w:val="4E6E3345"/>
    <w:rsid w:val="4E960CF9"/>
    <w:rsid w:val="4E96555D"/>
    <w:rsid w:val="4EB159E7"/>
    <w:rsid w:val="4EBF3FEE"/>
    <w:rsid w:val="4EC17A38"/>
    <w:rsid w:val="4EC70E5A"/>
    <w:rsid w:val="4EDD64EB"/>
    <w:rsid w:val="4F375314"/>
    <w:rsid w:val="4F3A40BA"/>
    <w:rsid w:val="4F427322"/>
    <w:rsid w:val="4F5714BB"/>
    <w:rsid w:val="4F640102"/>
    <w:rsid w:val="4F650258"/>
    <w:rsid w:val="4F917707"/>
    <w:rsid w:val="4F994B1F"/>
    <w:rsid w:val="4FE12A23"/>
    <w:rsid w:val="500254D1"/>
    <w:rsid w:val="50090398"/>
    <w:rsid w:val="502A2E26"/>
    <w:rsid w:val="506C4A9A"/>
    <w:rsid w:val="50A14EE6"/>
    <w:rsid w:val="50AB20E4"/>
    <w:rsid w:val="50CE030F"/>
    <w:rsid w:val="50FD1987"/>
    <w:rsid w:val="511B736F"/>
    <w:rsid w:val="516449BB"/>
    <w:rsid w:val="51964641"/>
    <w:rsid w:val="519B110F"/>
    <w:rsid w:val="51DD22EF"/>
    <w:rsid w:val="51DF7B69"/>
    <w:rsid w:val="51EF643D"/>
    <w:rsid w:val="52004003"/>
    <w:rsid w:val="520206C7"/>
    <w:rsid w:val="52106243"/>
    <w:rsid w:val="524E3D8F"/>
    <w:rsid w:val="52632BE1"/>
    <w:rsid w:val="52642545"/>
    <w:rsid w:val="52702060"/>
    <w:rsid w:val="529621EF"/>
    <w:rsid w:val="52A64EE1"/>
    <w:rsid w:val="52A65C78"/>
    <w:rsid w:val="52C80E7B"/>
    <w:rsid w:val="532D3D16"/>
    <w:rsid w:val="532D4E7B"/>
    <w:rsid w:val="536565B9"/>
    <w:rsid w:val="53B30D27"/>
    <w:rsid w:val="53EF6E81"/>
    <w:rsid w:val="54477E0F"/>
    <w:rsid w:val="544F6ACD"/>
    <w:rsid w:val="545344D9"/>
    <w:rsid w:val="548B691C"/>
    <w:rsid w:val="54BF07E9"/>
    <w:rsid w:val="54D820B3"/>
    <w:rsid w:val="54F67651"/>
    <w:rsid w:val="550F15A0"/>
    <w:rsid w:val="5529345C"/>
    <w:rsid w:val="5530039D"/>
    <w:rsid w:val="55761A27"/>
    <w:rsid w:val="55807DBF"/>
    <w:rsid w:val="558B5DD9"/>
    <w:rsid w:val="55B73F6C"/>
    <w:rsid w:val="55CB4EDD"/>
    <w:rsid w:val="55FC03B2"/>
    <w:rsid w:val="5639546F"/>
    <w:rsid w:val="56442754"/>
    <w:rsid w:val="567208AF"/>
    <w:rsid w:val="56984D53"/>
    <w:rsid w:val="571B7509"/>
    <w:rsid w:val="572A43A0"/>
    <w:rsid w:val="574E0D5F"/>
    <w:rsid w:val="57600387"/>
    <w:rsid w:val="577B5DBC"/>
    <w:rsid w:val="57A36D11"/>
    <w:rsid w:val="57C630AD"/>
    <w:rsid w:val="580F03B7"/>
    <w:rsid w:val="58250C66"/>
    <w:rsid w:val="58440D0F"/>
    <w:rsid w:val="586F11E9"/>
    <w:rsid w:val="5877491D"/>
    <w:rsid w:val="58AF1436"/>
    <w:rsid w:val="58B24DDC"/>
    <w:rsid w:val="58B332F0"/>
    <w:rsid w:val="58C91C4D"/>
    <w:rsid w:val="58E21967"/>
    <w:rsid w:val="591A2A5F"/>
    <w:rsid w:val="59334374"/>
    <w:rsid w:val="594D2981"/>
    <w:rsid w:val="59BC00B5"/>
    <w:rsid w:val="5A1767F6"/>
    <w:rsid w:val="5A186E68"/>
    <w:rsid w:val="5A2F4B9B"/>
    <w:rsid w:val="5A3664D9"/>
    <w:rsid w:val="5A4552A4"/>
    <w:rsid w:val="5A500358"/>
    <w:rsid w:val="5A5C669B"/>
    <w:rsid w:val="5A674AE3"/>
    <w:rsid w:val="5A785092"/>
    <w:rsid w:val="5A7F1BE2"/>
    <w:rsid w:val="5AAF6EB6"/>
    <w:rsid w:val="5AB27A58"/>
    <w:rsid w:val="5AB47C6B"/>
    <w:rsid w:val="5B143398"/>
    <w:rsid w:val="5B160FC1"/>
    <w:rsid w:val="5BDF1555"/>
    <w:rsid w:val="5BE5050C"/>
    <w:rsid w:val="5BF8480E"/>
    <w:rsid w:val="5C4F68C0"/>
    <w:rsid w:val="5C510710"/>
    <w:rsid w:val="5C8A6B8C"/>
    <w:rsid w:val="5C8F1420"/>
    <w:rsid w:val="5CC57AE8"/>
    <w:rsid w:val="5CE815E5"/>
    <w:rsid w:val="5D7475CB"/>
    <w:rsid w:val="5DBB248F"/>
    <w:rsid w:val="5DC93FD2"/>
    <w:rsid w:val="5DF37924"/>
    <w:rsid w:val="5E606D94"/>
    <w:rsid w:val="5E832581"/>
    <w:rsid w:val="5E887D62"/>
    <w:rsid w:val="5EC12204"/>
    <w:rsid w:val="5EEE13E7"/>
    <w:rsid w:val="5F1C349E"/>
    <w:rsid w:val="5F855073"/>
    <w:rsid w:val="5FA03FE1"/>
    <w:rsid w:val="5FCB4E22"/>
    <w:rsid w:val="5FF347A0"/>
    <w:rsid w:val="5FF368F5"/>
    <w:rsid w:val="601148BE"/>
    <w:rsid w:val="6015642E"/>
    <w:rsid w:val="602E7C8F"/>
    <w:rsid w:val="60324806"/>
    <w:rsid w:val="60353607"/>
    <w:rsid w:val="603601CE"/>
    <w:rsid w:val="60512109"/>
    <w:rsid w:val="60612F81"/>
    <w:rsid w:val="608571BA"/>
    <w:rsid w:val="60955FE2"/>
    <w:rsid w:val="609A2CFD"/>
    <w:rsid w:val="60AA58B1"/>
    <w:rsid w:val="60D62F9B"/>
    <w:rsid w:val="60E9387C"/>
    <w:rsid w:val="613D391A"/>
    <w:rsid w:val="614103AF"/>
    <w:rsid w:val="61922484"/>
    <w:rsid w:val="61B37232"/>
    <w:rsid w:val="61C362D9"/>
    <w:rsid w:val="61CC6949"/>
    <w:rsid w:val="622F3B76"/>
    <w:rsid w:val="625101DC"/>
    <w:rsid w:val="62630AB2"/>
    <w:rsid w:val="63117A5B"/>
    <w:rsid w:val="63522BE6"/>
    <w:rsid w:val="63541EEB"/>
    <w:rsid w:val="63C27ACF"/>
    <w:rsid w:val="63D24300"/>
    <w:rsid w:val="63F76DC6"/>
    <w:rsid w:val="64256999"/>
    <w:rsid w:val="64392D9B"/>
    <w:rsid w:val="6442438F"/>
    <w:rsid w:val="64490829"/>
    <w:rsid w:val="6466730E"/>
    <w:rsid w:val="64717BBA"/>
    <w:rsid w:val="648C0C49"/>
    <w:rsid w:val="64B800E5"/>
    <w:rsid w:val="64D83BFE"/>
    <w:rsid w:val="64E504CB"/>
    <w:rsid w:val="64F321CC"/>
    <w:rsid w:val="653434D9"/>
    <w:rsid w:val="657B46EE"/>
    <w:rsid w:val="65863D79"/>
    <w:rsid w:val="65BC1BF9"/>
    <w:rsid w:val="65C9614D"/>
    <w:rsid w:val="65D4477F"/>
    <w:rsid w:val="65DC6DF0"/>
    <w:rsid w:val="676D5EA7"/>
    <w:rsid w:val="677549FA"/>
    <w:rsid w:val="67A2424B"/>
    <w:rsid w:val="67CB5F24"/>
    <w:rsid w:val="67E2457A"/>
    <w:rsid w:val="68104C6D"/>
    <w:rsid w:val="68256525"/>
    <w:rsid w:val="68BF0AAB"/>
    <w:rsid w:val="68C00F1B"/>
    <w:rsid w:val="68D852A1"/>
    <w:rsid w:val="690239DA"/>
    <w:rsid w:val="6907030B"/>
    <w:rsid w:val="69131B98"/>
    <w:rsid w:val="69287CC7"/>
    <w:rsid w:val="692C384F"/>
    <w:rsid w:val="694D6970"/>
    <w:rsid w:val="696D3A74"/>
    <w:rsid w:val="69815558"/>
    <w:rsid w:val="69893657"/>
    <w:rsid w:val="699D4150"/>
    <w:rsid w:val="69E13D57"/>
    <w:rsid w:val="6A054598"/>
    <w:rsid w:val="6A1946FB"/>
    <w:rsid w:val="6A350254"/>
    <w:rsid w:val="6A5609FD"/>
    <w:rsid w:val="6ABE4D1A"/>
    <w:rsid w:val="6ACD2027"/>
    <w:rsid w:val="6AE44D3F"/>
    <w:rsid w:val="6AFC5D98"/>
    <w:rsid w:val="6AFE4E06"/>
    <w:rsid w:val="6B024D84"/>
    <w:rsid w:val="6B1260C9"/>
    <w:rsid w:val="6B140D64"/>
    <w:rsid w:val="6B3528D1"/>
    <w:rsid w:val="6B4778FE"/>
    <w:rsid w:val="6B73671E"/>
    <w:rsid w:val="6B9C74BF"/>
    <w:rsid w:val="6BA22191"/>
    <w:rsid w:val="6BFD1E37"/>
    <w:rsid w:val="6C4544F8"/>
    <w:rsid w:val="6C587F29"/>
    <w:rsid w:val="6C82401B"/>
    <w:rsid w:val="6C89335F"/>
    <w:rsid w:val="6CDA30C3"/>
    <w:rsid w:val="6CDA370F"/>
    <w:rsid w:val="6D056196"/>
    <w:rsid w:val="6D283CDF"/>
    <w:rsid w:val="6D6B58F1"/>
    <w:rsid w:val="6D7453D0"/>
    <w:rsid w:val="6DF84084"/>
    <w:rsid w:val="6E1324F2"/>
    <w:rsid w:val="6E17662B"/>
    <w:rsid w:val="6E1F7446"/>
    <w:rsid w:val="6E234404"/>
    <w:rsid w:val="6E5F2455"/>
    <w:rsid w:val="6E755E89"/>
    <w:rsid w:val="6E7C19A5"/>
    <w:rsid w:val="6EBC2259"/>
    <w:rsid w:val="6EC2766A"/>
    <w:rsid w:val="6F0E29D2"/>
    <w:rsid w:val="6F4E3D05"/>
    <w:rsid w:val="6F954307"/>
    <w:rsid w:val="6FD032B5"/>
    <w:rsid w:val="6FF81CE0"/>
    <w:rsid w:val="701D4775"/>
    <w:rsid w:val="70241045"/>
    <w:rsid w:val="70440720"/>
    <w:rsid w:val="70886C9E"/>
    <w:rsid w:val="70D772D1"/>
    <w:rsid w:val="70E6784F"/>
    <w:rsid w:val="70F432EC"/>
    <w:rsid w:val="710A324F"/>
    <w:rsid w:val="71493319"/>
    <w:rsid w:val="714E4E13"/>
    <w:rsid w:val="71591BE8"/>
    <w:rsid w:val="717958E9"/>
    <w:rsid w:val="71A769CF"/>
    <w:rsid w:val="71C42B1A"/>
    <w:rsid w:val="71CC6DA7"/>
    <w:rsid w:val="71DE390B"/>
    <w:rsid w:val="71E123C3"/>
    <w:rsid w:val="71EB56D5"/>
    <w:rsid w:val="72324B64"/>
    <w:rsid w:val="729D0EA0"/>
    <w:rsid w:val="72C2529B"/>
    <w:rsid w:val="72D34EA3"/>
    <w:rsid w:val="7312049B"/>
    <w:rsid w:val="732237F4"/>
    <w:rsid w:val="732A01B9"/>
    <w:rsid w:val="734515CE"/>
    <w:rsid w:val="734D0AF1"/>
    <w:rsid w:val="734D7365"/>
    <w:rsid w:val="73E01BFF"/>
    <w:rsid w:val="73E03F17"/>
    <w:rsid w:val="73E7564E"/>
    <w:rsid w:val="73EA03BE"/>
    <w:rsid w:val="740A3B34"/>
    <w:rsid w:val="74406CB2"/>
    <w:rsid w:val="74592374"/>
    <w:rsid w:val="746E41F2"/>
    <w:rsid w:val="74B50B85"/>
    <w:rsid w:val="75112571"/>
    <w:rsid w:val="752539F6"/>
    <w:rsid w:val="752F4528"/>
    <w:rsid w:val="754B31D5"/>
    <w:rsid w:val="7585792E"/>
    <w:rsid w:val="75AA3560"/>
    <w:rsid w:val="760E6F00"/>
    <w:rsid w:val="76637E99"/>
    <w:rsid w:val="76816802"/>
    <w:rsid w:val="76871F18"/>
    <w:rsid w:val="76BD6AB1"/>
    <w:rsid w:val="76C52890"/>
    <w:rsid w:val="76D85C8B"/>
    <w:rsid w:val="7702543D"/>
    <w:rsid w:val="772815EA"/>
    <w:rsid w:val="77A27238"/>
    <w:rsid w:val="77A67B0E"/>
    <w:rsid w:val="77BD0B67"/>
    <w:rsid w:val="77C53B48"/>
    <w:rsid w:val="77E53FCB"/>
    <w:rsid w:val="77E904EC"/>
    <w:rsid w:val="77F47CB7"/>
    <w:rsid w:val="77F724F2"/>
    <w:rsid w:val="782F7210"/>
    <w:rsid w:val="78505CD3"/>
    <w:rsid w:val="78C13FD4"/>
    <w:rsid w:val="78E304BC"/>
    <w:rsid w:val="78E62112"/>
    <w:rsid w:val="793040DC"/>
    <w:rsid w:val="794D4E80"/>
    <w:rsid w:val="79510946"/>
    <w:rsid w:val="795531B0"/>
    <w:rsid w:val="798604AA"/>
    <w:rsid w:val="79883A5E"/>
    <w:rsid w:val="79E33BF1"/>
    <w:rsid w:val="79FE09CB"/>
    <w:rsid w:val="7A2B1E5E"/>
    <w:rsid w:val="7A491D40"/>
    <w:rsid w:val="7AAA7309"/>
    <w:rsid w:val="7AB300F9"/>
    <w:rsid w:val="7AC335CA"/>
    <w:rsid w:val="7ADE03BE"/>
    <w:rsid w:val="7AF547BA"/>
    <w:rsid w:val="7B6C1210"/>
    <w:rsid w:val="7B8901BC"/>
    <w:rsid w:val="7B9F582F"/>
    <w:rsid w:val="7BFB7059"/>
    <w:rsid w:val="7C007C7A"/>
    <w:rsid w:val="7C3D0940"/>
    <w:rsid w:val="7C7B1A8F"/>
    <w:rsid w:val="7C886A17"/>
    <w:rsid w:val="7C895334"/>
    <w:rsid w:val="7CB85A5C"/>
    <w:rsid w:val="7CEA7515"/>
    <w:rsid w:val="7D1B6F76"/>
    <w:rsid w:val="7D202D61"/>
    <w:rsid w:val="7D2F5094"/>
    <w:rsid w:val="7D5B5433"/>
    <w:rsid w:val="7D7108B1"/>
    <w:rsid w:val="7D874E11"/>
    <w:rsid w:val="7D881811"/>
    <w:rsid w:val="7D8D4DFE"/>
    <w:rsid w:val="7DA76476"/>
    <w:rsid w:val="7DB76F85"/>
    <w:rsid w:val="7DC70F28"/>
    <w:rsid w:val="7DCF2D40"/>
    <w:rsid w:val="7DE52564"/>
    <w:rsid w:val="7DF164D0"/>
    <w:rsid w:val="7DF42720"/>
    <w:rsid w:val="7E114368"/>
    <w:rsid w:val="7E4A7DF2"/>
    <w:rsid w:val="7E765D75"/>
    <w:rsid w:val="7E78778D"/>
    <w:rsid w:val="7E81473A"/>
    <w:rsid w:val="7E844972"/>
    <w:rsid w:val="7E8D24E4"/>
    <w:rsid w:val="7ECE1B85"/>
    <w:rsid w:val="7EDE657E"/>
    <w:rsid w:val="7F0D7026"/>
    <w:rsid w:val="7F51175D"/>
    <w:rsid w:val="7F6F67B5"/>
    <w:rsid w:val="7F844DF6"/>
    <w:rsid w:val="7FB120EF"/>
    <w:rsid w:val="7FB25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imes New Roman"/>
      <w:sz w:val="28"/>
      <w:szCs w:val="22"/>
      <w:lang w:val="en-US" w:eastAsia="en-US" w:bidi="en-US"/>
    </w:rPr>
  </w:style>
  <w:style w:type="paragraph" w:styleId="2">
    <w:name w:val="heading 1"/>
    <w:basedOn w:val="1"/>
    <w:next w:val="1"/>
    <w:link w:val="23"/>
    <w:qFormat/>
    <w:uiPriority w:val="0"/>
    <w:pPr>
      <w:keepNext/>
      <w:keepLines/>
      <w:spacing w:before="10" w:beforeLines="10" w:after="10" w:afterLines="10"/>
      <w:outlineLvl w:val="0"/>
    </w:pPr>
    <w:rPr>
      <w:b/>
      <w:bCs/>
      <w:kern w:val="44"/>
      <w:sz w:val="30"/>
      <w:szCs w:val="44"/>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unhideWhenUsed/>
    <w:uiPriority w:val="1"/>
  </w:style>
  <w:style w:type="table" w:default="1" w:styleId="16">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qFormat/>
    <w:uiPriority w:val="0"/>
  </w:style>
  <w:style w:type="paragraph" w:styleId="5">
    <w:name w:val="toc 3"/>
    <w:basedOn w:val="1"/>
    <w:next w:val="1"/>
    <w:qFormat/>
    <w:uiPriority w:val="0"/>
    <w:pPr>
      <w:ind w:left="840" w:leftChars="400"/>
    </w:pPr>
  </w:style>
  <w:style w:type="paragraph" w:styleId="6">
    <w:name w:val="Balloon Text"/>
    <w:basedOn w:val="1"/>
    <w:link w:val="24"/>
    <w:qFormat/>
    <w:uiPriority w:val="0"/>
    <w:pPr>
      <w:spacing w:after="0" w:line="240" w:lineRule="auto"/>
    </w:pPr>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9">
    <w:name w:val="toc 1"/>
    <w:basedOn w:val="1"/>
    <w:next w:val="1"/>
    <w:qFormat/>
    <w:uiPriority w:val="39"/>
  </w:style>
  <w:style w:type="paragraph" w:styleId="10">
    <w:name w:val="Subtitle"/>
    <w:basedOn w:val="1"/>
    <w:next w:val="1"/>
    <w:qFormat/>
    <w:uiPriority w:val="0"/>
    <w:pPr>
      <w:spacing w:before="240" w:after="60" w:line="312" w:lineRule="auto"/>
      <w:jc w:val="center"/>
      <w:outlineLvl w:val="1"/>
    </w:pPr>
    <w:rPr>
      <w:rFonts w:asciiTheme="majorHAnsi" w:hAnsiTheme="majorHAnsi" w:cstheme="majorBidi"/>
      <w:b/>
      <w:bCs/>
      <w:kern w:val="28"/>
      <w:sz w:val="32"/>
      <w:szCs w:val="32"/>
    </w:rPr>
  </w:style>
  <w:style w:type="paragraph" w:styleId="11">
    <w:name w:val="toc 2"/>
    <w:basedOn w:val="1"/>
    <w:next w:val="1"/>
    <w:qFormat/>
    <w:uiPriority w:val="39"/>
    <w:pPr>
      <w:ind w:left="420" w:leftChars="200"/>
    </w:pPr>
  </w:style>
  <w:style w:type="paragraph" w:styleId="12">
    <w:name w:val="Normal (Web)"/>
    <w:basedOn w:val="1"/>
    <w:qFormat/>
    <w:uiPriority w:val="0"/>
    <w:pPr>
      <w:spacing w:before="100" w:beforeAutospacing="1" w:after="100" w:afterAutospacing="1"/>
    </w:pPr>
    <w:rPr>
      <w:rFonts w:ascii="宋体" w:hAnsi="宋体" w:cs="宋体"/>
      <w:sz w:val="24"/>
      <w:szCs w:val="24"/>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styleId="15">
    <w:name w:val="annotation reference"/>
    <w:basedOn w:val="13"/>
    <w:qFormat/>
    <w:uiPriority w:val="0"/>
    <w:rPr>
      <w:sz w:val="21"/>
      <w:szCs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列出段落12"/>
    <w:basedOn w:val="1"/>
    <w:qFormat/>
    <w:uiPriority w:val="0"/>
    <w:pPr>
      <w:widowControl w:val="0"/>
      <w:spacing w:after="0" w:line="240" w:lineRule="auto"/>
      <w:ind w:firstLine="420" w:firstLineChars="200"/>
      <w:jc w:val="both"/>
    </w:pPr>
    <w:rPr>
      <w:rFonts w:ascii="Calibri" w:hAnsi="Calibri" w:eastAsia="仿宋" w:cs="黑体"/>
      <w:kern w:val="2"/>
      <w:sz w:val="21"/>
      <w:szCs w:val="21"/>
      <w:lang w:eastAsia="zh-CN" w:bidi="ar-SA"/>
    </w:rPr>
  </w:style>
  <w:style w:type="paragraph" w:customStyle="1" w:styleId="19">
    <w:name w:val="列出段落1"/>
    <w:basedOn w:val="1"/>
    <w:unhideWhenUsed/>
    <w:qFormat/>
    <w:uiPriority w:val="34"/>
    <w:pPr>
      <w:spacing w:after="0" w:line="360" w:lineRule="auto"/>
      <w:ind w:firstLine="420" w:firstLineChars="200"/>
    </w:pPr>
    <w:rPr>
      <w:rFonts w:eastAsia="仿宋"/>
    </w:rPr>
  </w:style>
  <w:style w:type="paragraph" w:customStyle="1" w:styleId="20">
    <w:name w:val="列出段落11"/>
    <w:basedOn w:val="1"/>
    <w:qFormat/>
    <w:uiPriority w:val="34"/>
    <w:pPr>
      <w:widowControl w:val="0"/>
      <w:ind w:firstLine="420" w:firstLineChars="200"/>
    </w:pPr>
    <w:rPr>
      <w:rFonts w:asciiTheme="minorHAnsi" w:hAnsiTheme="minorHAnsi" w:eastAsiaTheme="minorEastAsia" w:cstheme="minorBidi"/>
      <w:kern w:val="2"/>
    </w:rPr>
  </w:style>
  <w:style w:type="paragraph" w:customStyle="1" w:styleId="21">
    <w:name w:val="闻政正文"/>
    <w:basedOn w:val="1"/>
    <w:next w:val="1"/>
    <w:qFormat/>
    <w:uiPriority w:val="0"/>
    <w:pPr>
      <w:widowControl w:val="0"/>
      <w:spacing w:after="0" w:line="500" w:lineRule="exact"/>
      <w:ind w:firstLine="560" w:firstLineChars="200"/>
      <w:jc w:val="both"/>
    </w:pPr>
    <w:rPr>
      <w:rFonts w:eastAsia="仿宋_GB2312"/>
      <w:szCs w:val="28"/>
      <w:lang w:eastAsia="zh-CN" w:bidi="ar-SA"/>
    </w:rPr>
  </w:style>
  <w:style w:type="paragraph" w:customStyle="1" w:styleId="22">
    <w:name w:val="方案正文"/>
    <w:basedOn w:val="1"/>
    <w:qFormat/>
    <w:uiPriority w:val="0"/>
    <w:pPr>
      <w:ind w:firstLine="723" w:firstLineChars="200"/>
    </w:pPr>
  </w:style>
  <w:style w:type="character" w:customStyle="1" w:styleId="23">
    <w:name w:val="标题 1 字符"/>
    <w:link w:val="2"/>
    <w:qFormat/>
    <w:uiPriority w:val="0"/>
    <w:rPr>
      <w:b/>
      <w:bCs/>
      <w:kern w:val="44"/>
      <w:sz w:val="30"/>
      <w:szCs w:val="44"/>
    </w:rPr>
  </w:style>
  <w:style w:type="character" w:customStyle="1" w:styleId="24">
    <w:name w:val="批注框文本 字符"/>
    <w:basedOn w:val="13"/>
    <w:link w:val="6"/>
    <w:qFormat/>
    <w:uiPriority w:val="0"/>
    <w:rPr>
      <w:sz w:val="18"/>
      <w:szCs w:val="18"/>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0" Type="http://schemas.openxmlformats.org/officeDocument/2006/relationships/fontTable" Target="fontTable.xml"/><Relationship Id="rId5" Type="http://schemas.openxmlformats.org/officeDocument/2006/relationships/header" Target="header2.xml"/><Relationship Id="rId49" Type="http://schemas.openxmlformats.org/officeDocument/2006/relationships/customXml" Target="../customXml/item2.xml"/><Relationship Id="rId48" Type="http://schemas.openxmlformats.org/officeDocument/2006/relationships/numbering" Target="numbering.xml"/><Relationship Id="rId47" Type="http://schemas.openxmlformats.org/officeDocument/2006/relationships/customXml" Target="../customXml/item1.xml"/><Relationship Id="rId46" Type="http://schemas.openxmlformats.org/officeDocument/2006/relationships/diagramColors" Target="diagrams/colors9.xml"/><Relationship Id="rId45" Type="http://schemas.openxmlformats.org/officeDocument/2006/relationships/diagramQuickStyle" Target="diagrams/quickStyle9.xml"/><Relationship Id="rId44" Type="http://schemas.openxmlformats.org/officeDocument/2006/relationships/diagramLayout" Target="diagrams/layout9.xml"/><Relationship Id="rId43" Type="http://schemas.openxmlformats.org/officeDocument/2006/relationships/diagramData" Target="diagrams/data9.xml"/><Relationship Id="rId42" Type="http://schemas.openxmlformats.org/officeDocument/2006/relationships/diagramColors" Target="diagrams/colors8.xml"/><Relationship Id="rId41" Type="http://schemas.openxmlformats.org/officeDocument/2006/relationships/diagramQuickStyle" Target="diagrams/quickStyle8.xml"/><Relationship Id="rId40" Type="http://schemas.openxmlformats.org/officeDocument/2006/relationships/diagramLayout" Target="diagrams/layout8.xml"/><Relationship Id="rId4" Type="http://schemas.openxmlformats.org/officeDocument/2006/relationships/footer" Target="footer1.xml"/><Relationship Id="rId39" Type="http://schemas.openxmlformats.org/officeDocument/2006/relationships/diagramData" Target="diagrams/data8.xml"/><Relationship Id="rId38" Type="http://schemas.openxmlformats.org/officeDocument/2006/relationships/diagramColors" Target="diagrams/colors7.xml"/><Relationship Id="rId37" Type="http://schemas.openxmlformats.org/officeDocument/2006/relationships/diagramQuickStyle" Target="diagrams/quickStyle7.xml"/><Relationship Id="rId36" Type="http://schemas.openxmlformats.org/officeDocument/2006/relationships/diagramLayout" Target="diagrams/layout7.xml"/><Relationship Id="rId35" Type="http://schemas.openxmlformats.org/officeDocument/2006/relationships/diagramData" Target="diagrams/data7.xml"/><Relationship Id="rId34" Type="http://schemas.openxmlformats.org/officeDocument/2006/relationships/diagramColors" Target="diagrams/colors6.xml"/><Relationship Id="rId33" Type="http://schemas.openxmlformats.org/officeDocument/2006/relationships/diagramQuickStyle" Target="diagrams/quickStyle6.xml"/><Relationship Id="rId32" Type="http://schemas.openxmlformats.org/officeDocument/2006/relationships/diagramLayout" Target="diagrams/layout6.xml"/><Relationship Id="rId31" Type="http://schemas.openxmlformats.org/officeDocument/2006/relationships/diagramData" Target="diagrams/data6.xml"/><Relationship Id="rId30" Type="http://schemas.openxmlformats.org/officeDocument/2006/relationships/diagramColors" Target="diagrams/colors5.xml"/><Relationship Id="rId3" Type="http://schemas.openxmlformats.org/officeDocument/2006/relationships/header" Target="header1.xml"/><Relationship Id="rId29" Type="http://schemas.openxmlformats.org/officeDocument/2006/relationships/diagramQuickStyle" Target="diagrams/quickStyle5.xml"/><Relationship Id="rId28" Type="http://schemas.openxmlformats.org/officeDocument/2006/relationships/diagramLayout" Target="diagrams/layout5.xml"/><Relationship Id="rId27" Type="http://schemas.openxmlformats.org/officeDocument/2006/relationships/diagramData" Target="diagrams/data5.xml"/><Relationship Id="rId26" Type="http://schemas.openxmlformats.org/officeDocument/2006/relationships/diagramColors" Target="diagrams/colors4.xml"/><Relationship Id="rId25" Type="http://schemas.openxmlformats.org/officeDocument/2006/relationships/diagramQuickStyle" Target="diagrams/quickStyle4.xml"/><Relationship Id="rId24" Type="http://schemas.openxmlformats.org/officeDocument/2006/relationships/diagramLayout" Target="diagrams/layout4.xml"/><Relationship Id="rId23" Type="http://schemas.openxmlformats.org/officeDocument/2006/relationships/diagramData" Target="diagrams/data4.xml"/><Relationship Id="rId22" Type="http://schemas.openxmlformats.org/officeDocument/2006/relationships/diagramColors" Target="diagrams/colors3.xml"/><Relationship Id="rId21" Type="http://schemas.openxmlformats.org/officeDocument/2006/relationships/diagramQuickStyle" Target="diagrams/quickStyle3.xml"/><Relationship Id="rId20" Type="http://schemas.openxmlformats.org/officeDocument/2006/relationships/diagramLayout" Target="diagrams/layout3.xml"/><Relationship Id="rId2" Type="http://schemas.openxmlformats.org/officeDocument/2006/relationships/settings" Target="settings.xml"/><Relationship Id="rId19" Type="http://schemas.openxmlformats.org/officeDocument/2006/relationships/diagramData" Target="diagrams/data3.xml"/><Relationship Id="rId18" Type="http://schemas.openxmlformats.org/officeDocument/2006/relationships/diagramColors" Target="diagrams/colors2.xml"/><Relationship Id="rId17" Type="http://schemas.openxmlformats.org/officeDocument/2006/relationships/diagramQuickStyle" Target="diagrams/quickStyle2.xml"/><Relationship Id="rId16" Type="http://schemas.openxmlformats.org/officeDocument/2006/relationships/diagramLayout" Target="diagrams/layout2.xml"/><Relationship Id="rId15" Type="http://schemas.openxmlformats.org/officeDocument/2006/relationships/diagramData" Target="diagrams/data2.xml"/><Relationship Id="rId14" Type="http://schemas.openxmlformats.org/officeDocument/2006/relationships/diagramColors" Target="diagrams/colors1.xml"/><Relationship Id="rId13" Type="http://schemas.openxmlformats.org/officeDocument/2006/relationships/diagramQuickStyle" Target="diagrams/quickStyle1.xml"/><Relationship Id="rId12" Type="http://schemas.openxmlformats.org/officeDocument/2006/relationships/diagramLayout" Target="diagrams/layout1.xml"/><Relationship Id="rId11" Type="http://schemas.openxmlformats.org/officeDocument/2006/relationships/diagramData" Target="diagrams/data1.xml"/><Relationship Id="rId10" Type="http://schemas.openxmlformats.org/officeDocument/2006/relationships/image" Target="media/image2.jpe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6">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7">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6" loCatId="hierarchy" qsTypeId="urn:microsoft.com/office/officeart/2005/8/quickstyle/simple1#6" qsCatId="simple" csTypeId="urn:microsoft.com/office/officeart/2005/8/colors/accent1_2#6" csCatId="accent1" phldr="1"/>
      <dgm:spPr/>
      <dgm:t>
        <a:bodyPr/>
        <a:p>
          <a:endParaRPr lang="zh-CN" altLang="en-US"/>
        </a:p>
      </dgm:t>
    </dgm:pt>
    <dgm:pt modelId="{1BDE227F-5A4C-48E8-9D2C-897B1D91E17E}">
      <dgm:prSet phldrT="[文本]" custT="1"/>
      <dgm:spPr/>
      <dgm:t>
        <a:bodyPr/>
        <a:p>
          <a:r>
            <a:rPr lang="en-US" altLang="zh-CN" sz="1200">
              <a:latin typeface="仿宋" panose="02010609060101010101" pitchFamily="3" charset="-122"/>
              <a:ea typeface="仿宋" panose="02010609060101010101" pitchFamily="3" charset="-122"/>
            </a:rPr>
            <a:t>A1</a:t>
          </a:r>
          <a:r>
            <a:rPr lang="zh-CN" altLang="en-US" sz="1200">
              <a:latin typeface="仿宋" panose="02010609060101010101" pitchFamily="3" charset="-122"/>
              <a:ea typeface="仿宋" panose="02010609060101010101" pitchFamily="3" charset="-122"/>
            </a:rPr>
            <a:t>项目决策</a:t>
          </a:r>
          <a:endParaRPr lang="en-US" altLang="zh-CN" sz="1200">
            <a:latin typeface="仿宋" panose="02010609060101010101" pitchFamily="3" charset="-122"/>
            <a:ea typeface="仿宋" panose="02010609060101010101" pitchFamily="3" charset="-122"/>
          </a:endParaRP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B12</a:t>
          </a:r>
          <a:r>
            <a:rPr lang="zh-CN" altLang="en-US" sz="1200">
              <a:latin typeface="仿宋" panose="02010609060101010101" pitchFamily="3" charset="-122"/>
              <a:ea typeface="仿宋" panose="02010609060101010101" pitchFamily="3" charset="-122"/>
            </a:rPr>
            <a:t>决策过程</a:t>
          </a:r>
          <a:endParaRPr lang="en-US" altLang="zh-CN" sz="1200">
            <a:latin typeface="仿宋" panose="02010609060101010101" pitchFamily="3" charset="-122"/>
            <a:ea typeface="仿宋" panose="02010609060101010101" pitchFamily="3" charset="-122"/>
          </a:endParaRP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33432"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Y="39204">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Y="42523"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Lst>
  <dgm:cxnLst>
    <dgm:cxn modelId="{290419BF-66B7-4E43-AC26-C15A872FAF68}" type="presOf" srcId="{EA4044AE-C928-4710-8F11-6CBDEE346021}" destId="{96B5487D-F4C6-41DF-8D94-293FA42C6661}" srcOrd="0" destOrd="0" presId="urn:microsoft.com/office/officeart/2005/8/layout/hierarchy1#6"/>
    <dgm:cxn modelId="{EC6106E1-2EDB-449A-AD80-393D2D71AF30}" type="presOf" srcId="{A640A637-00B2-4DD5-8596-47785AC3BE8F}" destId="{8F10226D-7E3C-4158-92FE-7514BD98517B}" srcOrd="0" destOrd="0" presId="urn:microsoft.com/office/officeart/2005/8/layout/hierarchy1#6"/>
    <dgm:cxn modelId="{D316FFB2-B6FD-451E-A2A1-58EE0F2B4EA0}" type="presOf" srcId="{0DFC7546-9DEA-4AC4-8AF7-5663955A8EC9}" destId="{7B309770-F968-4B0B-BBAB-D297361ABEDB}" srcOrd="0" destOrd="0" presId="urn:microsoft.com/office/officeart/2005/8/layout/hierarchy1#6"/>
    <dgm:cxn modelId="{52EB71A3-F5A9-4BE9-89F7-BA7E961BA14C}" type="presOf" srcId="{D7A43BEB-FA12-4C0B-B759-6A062836903F}" destId="{7261301C-9B4A-414C-8F98-B467C514C0DB}" srcOrd="0" destOrd="0" presId="urn:microsoft.com/office/officeart/2005/8/layout/hierarchy1#6"/>
    <dgm:cxn modelId="{F678ECFF-ADD2-49D5-97DE-33A844E9CEEA}" srcId="{D7A43BEB-FA12-4C0B-B759-6A062836903F}" destId="{1BDE227F-5A4C-48E8-9D2C-897B1D91E17E}" srcOrd="0" destOrd="0" parTransId="{6F46EC70-7AD3-4B5A-8717-89F00C57E370}" sibTransId="{574B75D4-2129-4D47-B96E-710FAE841DB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FE53607B-293F-4D6C-A484-DB1563D11D04}" type="presOf" srcId="{1BDE227F-5A4C-48E8-9D2C-897B1D91E17E}" destId="{6974CC6A-AC88-480F-A4C5-328ACDF32A6F}" srcOrd="0" destOrd="0" presId="urn:microsoft.com/office/officeart/2005/8/layout/hierarchy1#6"/>
    <dgm:cxn modelId="{DF2C2C92-4C35-464D-B6EB-08D58008C344}" type="presOf" srcId="{5432E5DD-71DB-4EF5-9DE2-CF79D938C733}" destId="{5D06FEC2-B505-4ECD-9C0F-C0705014FC50}" srcOrd="0" destOrd="0" presId="urn:microsoft.com/office/officeart/2005/8/layout/hierarchy1#6"/>
    <dgm:cxn modelId="{87E0CC6B-509A-4714-8CA4-8A8FCA203C63}" type="presParOf" srcId="{7261301C-9B4A-414C-8F98-B467C514C0DB}" destId="{E3F6ACFA-1EDD-4321-A7E3-EBBD85A13113}" srcOrd="0" destOrd="0" presId="urn:microsoft.com/office/officeart/2005/8/layout/hierarchy1#6"/>
    <dgm:cxn modelId="{9E2A1ECC-2F03-45A6-9288-345BE86BB20C}" type="presParOf" srcId="{E3F6ACFA-1EDD-4321-A7E3-EBBD85A13113}" destId="{C73FF140-72AB-4D28-A478-C6F7E85D8B47}" srcOrd="0" destOrd="0" presId="urn:microsoft.com/office/officeart/2005/8/layout/hierarchy1#6"/>
    <dgm:cxn modelId="{0E2497BE-8BE5-421D-A9C7-A3E0B5F6B896}" type="presParOf" srcId="{C73FF140-72AB-4D28-A478-C6F7E85D8B47}" destId="{886B2A62-2115-42B6-9F98-D5FD9D2B1D14}" srcOrd="0" destOrd="0" presId="urn:microsoft.com/office/officeart/2005/8/layout/hierarchy1#6"/>
    <dgm:cxn modelId="{5D9A6520-7118-4EC6-A528-CB3CB674ACAB}" type="presParOf" srcId="{C73FF140-72AB-4D28-A478-C6F7E85D8B47}" destId="{6974CC6A-AC88-480F-A4C5-328ACDF32A6F}" srcOrd="1" destOrd="0" presId="urn:microsoft.com/office/officeart/2005/8/layout/hierarchy1#6"/>
    <dgm:cxn modelId="{C0E8E845-E17D-4C8F-8BC0-1C95813423D3}" type="presParOf" srcId="{E3F6ACFA-1EDD-4321-A7E3-EBBD85A13113}" destId="{F62AF569-4562-4E32-9BDB-9DC646BEDF73}" srcOrd="1" destOrd="0" presId="urn:microsoft.com/office/officeart/2005/8/layout/hierarchy1#6"/>
    <dgm:cxn modelId="{6B047D8B-9F26-4A04-99BF-CE6CFC54CF38}" type="presParOf" srcId="{F62AF569-4562-4E32-9BDB-9DC646BEDF73}" destId="{7B309770-F968-4B0B-BBAB-D297361ABEDB}" srcOrd="0" destOrd="0" presId="urn:microsoft.com/office/officeart/2005/8/layout/hierarchy1#6"/>
    <dgm:cxn modelId="{91917AFD-B042-4D19-8DC8-C43F85971296}" type="presParOf" srcId="{F62AF569-4562-4E32-9BDB-9DC646BEDF73}" destId="{87EB5F72-3614-43C7-B832-34B2005DC3B4}" srcOrd="1" destOrd="0" presId="urn:microsoft.com/office/officeart/2005/8/layout/hierarchy1#6"/>
    <dgm:cxn modelId="{D722679E-83F6-422D-97D4-83015109377E}" type="presParOf" srcId="{87EB5F72-3614-43C7-B832-34B2005DC3B4}" destId="{17C704FF-D944-4ADF-A54A-E45E28FCAF34}" srcOrd="0" destOrd="0" presId="urn:microsoft.com/office/officeart/2005/8/layout/hierarchy1#6"/>
    <dgm:cxn modelId="{1BAC17D1-5722-4CEB-B058-D8686B5C6B93}" type="presParOf" srcId="{17C704FF-D944-4ADF-A54A-E45E28FCAF34}" destId="{6AE71D67-12EA-44FE-8C0B-C92F33DC7343}" srcOrd="0" destOrd="0" presId="urn:microsoft.com/office/officeart/2005/8/layout/hierarchy1#6"/>
    <dgm:cxn modelId="{8EAF6CD8-6A20-49CA-A930-EE2E896070EA}" type="presParOf" srcId="{17C704FF-D944-4ADF-A54A-E45E28FCAF34}" destId="{8F10226D-7E3C-4158-92FE-7514BD98517B}" srcOrd="1" destOrd="0" presId="urn:microsoft.com/office/officeart/2005/8/layout/hierarchy1#6"/>
    <dgm:cxn modelId="{B637578F-B78E-465A-B0A4-E8403A46AE48}" type="presParOf" srcId="{87EB5F72-3614-43C7-B832-34B2005DC3B4}" destId="{65FA7CBF-E86A-4146-BAE1-EBAF09C00BA5}" srcOrd="1" destOrd="0" presId="urn:microsoft.com/office/officeart/2005/8/layout/hierarchy1#6"/>
    <dgm:cxn modelId="{638A183D-8126-4D0A-83B2-89DAD574583A}" type="presParOf" srcId="{F62AF569-4562-4E32-9BDB-9DC646BEDF73}" destId="{5D06FEC2-B505-4ECD-9C0F-C0705014FC50}" srcOrd="2" destOrd="0" presId="urn:microsoft.com/office/officeart/2005/8/layout/hierarchy1#6"/>
    <dgm:cxn modelId="{AECBC707-0FD9-449C-9F99-E27C44BE79D2}" type="presParOf" srcId="{F62AF569-4562-4E32-9BDB-9DC646BEDF73}" destId="{D9DB03C0-0485-438A-8977-2C94C8A65D3C}" srcOrd="3" destOrd="0" presId="urn:microsoft.com/office/officeart/2005/8/layout/hierarchy1#6"/>
    <dgm:cxn modelId="{21A31E37-664E-4089-A219-E46B43F36593}" type="presParOf" srcId="{D9DB03C0-0485-438A-8977-2C94C8A65D3C}" destId="{A0F776B2-D3CF-4628-8C15-722A470D7AA8}" srcOrd="0" destOrd="0" presId="urn:microsoft.com/office/officeart/2005/8/layout/hierarchy1#6"/>
    <dgm:cxn modelId="{FB4EFEB2-9DDB-4040-BDE1-7BFA9EDC1EA0}" type="presParOf" srcId="{A0F776B2-D3CF-4628-8C15-722A470D7AA8}" destId="{A33BDEE4-F6A4-4EBB-8EF1-590C8BE92E38}" srcOrd="0" destOrd="0" presId="urn:microsoft.com/office/officeart/2005/8/layout/hierarchy1#6"/>
    <dgm:cxn modelId="{1CCDABA8-12E6-4E42-A4FD-13A78A41B853}" type="presParOf" srcId="{A0F776B2-D3CF-4628-8C15-722A470D7AA8}" destId="{96B5487D-F4C6-41DF-8D94-293FA42C6661}" srcOrd="1" destOrd="0" presId="urn:microsoft.com/office/officeart/2005/8/layout/hierarchy1#6"/>
    <dgm:cxn modelId="{AA046373-5891-44B5-8BD1-359064FA2C7B}" type="presParOf" srcId="{D9DB03C0-0485-438A-8977-2C94C8A65D3C}" destId="{DFC56957-853A-4911-B76E-EB0946122DD9}" srcOrd="1" destOrd="0" presId="urn:microsoft.com/office/officeart/2005/8/layout/hierarchy1#6"/>
  </dgm:cxnLst>
  <dgm:bg/>
  <dgm:whole/>
</dgm:dataModel>
</file>

<file path=word/diagrams/data2.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7" loCatId="hierarchy" qsTypeId="urn:microsoft.com/office/officeart/2005/8/quickstyle/simple1#7" qsCatId="simple" csTypeId="urn:microsoft.com/office/officeart/2005/8/colors/accent1_2#7"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C111</a:t>
          </a:r>
          <a:r>
            <a:rPr lang="zh-CN" altLang="en-US" sz="1200">
              <a:latin typeface="仿宋" panose="02010609060101010101" pitchFamily="3" charset="-122"/>
              <a:ea typeface="仿宋" panose="02010609060101010101" pitchFamily="3" charset="-122"/>
            </a:rPr>
            <a:t>目标规范</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C112</a:t>
          </a:r>
          <a:r>
            <a:rPr lang="zh-CN" altLang="en-US" sz="1200">
              <a:latin typeface="仿宋" panose="02010609060101010101" pitchFamily="3" charset="-122"/>
              <a:ea typeface="仿宋" panose="02010609060101010101" pitchFamily="3" charset="-122"/>
            </a:rPr>
            <a:t>目标合理</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CF60BC90-B4FC-4B98-8451-9F618E51CD76}">
      <dgm:prSet custT="1"/>
      <dgm:spPr/>
      <dgm:t>
        <a:bodyPr/>
        <a:p>
          <a:r>
            <a:rPr lang="en-US" sz="1200" b="0" i="0" u="none">
              <a:latin typeface="仿宋" panose="02010609060101010101" pitchFamily="3" charset="-122"/>
              <a:ea typeface="仿宋" panose="02010609060101010101" pitchFamily="3" charset="-122"/>
            </a:rPr>
            <a:t>C113</a:t>
          </a:r>
          <a:r>
            <a:rPr lang="zh-CN" altLang="en-US" sz="1200" b="0" i="0" u="none">
              <a:latin typeface="仿宋" panose="02010609060101010101" pitchFamily="3" charset="-122"/>
              <a:ea typeface="仿宋" panose="02010609060101010101" pitchFamily="3" charset="-122"/>
            </a:rPr>
            <a:t>目标明确</a:t>
          </a:r>
          <a:endParaRPr lang="zh-CN" altLang="en-US" sz="1200">
            <a:latin typeface="仿宋" panose="02010609060101010101" pitchFamily="3" charset="-122"/>
            <a:ea typeface="仿宋" panose="02010609060101010101" pitchFamily="3" charset="-122"/>
          </a:endParaRPr>
        </a:p>
      </dgm:t>
    </dgm:pt>
    <dgm:pt modelId="{E5EA7950-0670-441F-8DCB-80CF2D2ABC5D}" cxnId="{7618CD3F-2329-44FF-8A5A-B0A13CB82D09}" type="parTrans">
      <dgm:prSet/>
      <dgm:spPr/>
      <dgm:t>
        <a:bodyPr/>
        <a:p>
          <a:endParaRPr lang="zh-CN" altLang="en-US"/>
        </a:p>
      </dgm:t>
    </dgm:pt>
    <dgm:pt modelId="{698ABCD6-116F-4250-AC2D-9EB803EF88E1}" cxnId="{7618CD3F-2329-44FF-8A5A-B0A13CB82D09}"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7741" custScaleY="42523"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 modelId="{519218DA-FFA2-42A8-87E5-362FB56D10AE}" type="pres">
      <dgm:prSet presAssocID="{E5EA7950-0670-441F-8DCB-80CF2D2ABC5D}" presName="Name10" presStyleLbl="parChTrans1D2" presStyleIdx="2" presStyleCnt="3"/>
      <dgm:spPr/>
      <dgm:t>
        <a:bodyPr/>
        <a:p>
          <a:endParaRPr lang="zh-CN" altLang="en-US"/>
        </a:p>
      </dgm:t>
    </dgm:pt>
    <dgm:pt modelId="{D7CA57D4-83C3-4210-92C9-C3E13C7BEB02}" type="pres">
      <dgm:prSet presAssocID="{CF60BC90-B4FC-4B98-8451-9F618E51CD76}" presName="hierRoot2" presStyleCnt="0"/>
      <dgm:spPr/>
    </dgm:pt>
    <dgm:pt modelId="{0BFAA032-805D-4874-A0C7-5459107D4A05}" type="pres">
      <dgm:prSet presAssocID="{CF60BC90-B4FC-4B98-8451-9F618E51CD76}" presName="composite2" presStyleCnt="0"/>
      <dgm:spPr/>
    </dgm:pt>
    <dgm:pt modelId="{8C91A731-9C4A-4C24-B9BF-FFBEDAFA243C}" type="pres">
      <dgm:prSet presAssocID="{CF60BC90-B4FC-4B98-8451-9F618E51CD76}" presName="background2" presStyleLbl="node2" presStyleIdx="2" presStyleCnt="3"/>
      <dgm:spPr/>
    </dgm:pt>
    <dgm:pt modelId="{A81093F1-81E9-45BC-9F94-28A899C4D604}" type="pres">
      <dgm:prSet presAssocID="{CF60BC90-B4FC-4B98-8451-9F618E51CD76}" presName="text2" presStyleLbl="fgAcc2" presStyleIdx="2" presStyleCnt="3" custScaleX="137741" custScaleY="44127">
        <dgm:presLayoutVars>
          <dgm:chPref val="3"/>
        </dgm:presLayoutVars>
      </dgm:prSet>
      <dgm:spPr/>
      <dgm:t>
        <a:bodyPr/>
        <a:p>
          <a:endParaRPr lang="zh-CN" altLang="en-US"/>
        </a:p>
      </dgm:t>
    </dgm:pt>
    <dgm:pt modelId="{18846AA3-7E5D-406D-9E14-F9BF89DF43C3}" type="pres">
      <dgm:prSet presAssocID="{CF60BC90-B4FC-4B98-8451-9F618E51CD76}" presName="hierChild3" presStyleCnt="0"/>
      <dgm:spPr/>
    </dgm:pt>
  </dgm:ptLst>
  <dgm:cxnLst>
    <dgm:cxn modelId="{B5D3BC03-4862-4CF1-824D-3900CECAB812}" type="presOf" srcId="{1BDE227F-5A4C-48E8-9D2C-897B1D91E17E}" destId="{6974CC6A-AC88-480F-A4C5-328ACDF32A6F}" srcOrd="0" destOrd="0" presId="urn:microsoft.com/office/officeart/2005/8/layout/hierarchy1#7"/>
    <dgm:cxn modelId="{7618CD3F-2329-44FF-8A5A-B0A13CB82D09}" srcId="{1BDE227F-5A4C-48E8-9D2C-897B1D91E17E}" destId="{CF60BC90-B4FC-4B98-8451-9F618E51CD76}" srcOrd="2" destOrd="0" parTransId="{E5EA7950-0670-441F-8DCB-80CF2D2ABC5D}" sibTransId="{698ABCD6-116F-4250-AC2D-9EB803EF88E1}"/>
    <dgm:cxn modelId="{F92E6466-CC85-4702-A676-B57FB9A84876}" type="presOf" srcId="{5432E5DD-71DB-4EF5-9DE2-CF79D938C733}" destId="{5D06FEC2-B505-4ECD-9C0F-C0705014FC50}" srcOrd="0" destOrd="0" presId="urn:microsoft.com/office/officeart/2005/8/layout/hierarchy1#7"/>
    <dgm:cxn modelId="{F678ECFF-ADD2-49D5-97DE-33A844E9CEEA}" srcId="{D7A43BEB-FA12-4C0B-B759-6A062836903F}" destId="{1BDE227F-5A4C-48E8-9D2C-897B1D91E17E}" srcOrd="0" destOrd="0" parTransId="{6F46EC70-7AD3-4B5A-8717-89F00C57E370}" sibTransId="{574B75D4-2129-4D47-B96E-710FAE841DB3}"/>
    <dgm:cxn modelId="{C37133C4-483D-4099-9FDD-B0D497D7920F}" type="presOf" srcId="{D7A43BEB-FA12-4C0B-B759-6A062836903F}" destId="{7261301C-9B4A-414C-8F98-B467C514C0DB}" srcOrd="0" destOrd="0" presId="urn:microsoft.com/office/officeart/2005/8/layout/hierarchy1#7"/>
    <dgm:cxn modelId="{19FF91E8-2F12-4DB4-B0B3-442A192EFEEF}" srcId="{1BDE227F-5A4C-48E8-9D2C-897B1D91E17E}" destId="{EA4044AE-C928-4710-8F11-6CBDEE346021}" srcOrd="1" destOrd="0" parTransId="{5432E5DD-71DB-4EF5-9DE2-CF79D938C733}" sibTransId="{0A4C6ADD-7088-4893-B79A-DFEAB7845941}"/>
    <dgm:cxn modelId="{8C2E978A-7814-47D7-A307-68A44F1651D4}" type="presOf" srcId="{EA4044AE-C928-4710-8F11-6CBDEE346021}" destId="{96B5487D-F4C6-41DF-8D94-293FA42C6661}" srcOrd="0" destOrd="0" presId="urn:microsoft.com/office/officeart/2005/8/layout/hierarchy1#7"/>
    <dgm:cxn modelId="{C0373F0C-548E-4E67-A21F-834EF52102F3}" type="presOf" srcId="{E5EA7950-0670-441F-8DCB-80CF2D2ABC5D}" destId="{519218DA-FFA2-42A8-87E5-362FB56D10AE}" srcOrd="0" destOrd="0" presId="urn:microsoft.com/office/officeart/2005/8/layout/hierarchy1#7"/>
    <dgm:cxn modelId="{50D951DF-A499-4A59-B5EC-38F309BFDA5B}" srcId="{1BDE227F-5A4C-48E8-9D2C-897B1D91E17E}" destId="{A640A637-00B2-4DD5-8596-47785AC3BE8F}" srcOrd="0" destOrd="0" parTransId="{0DFC7546-9DEA-4AC4-8AF7-5663955A8EC9}" sibTransId="{457E2A54-B388-47F1-9B5A-1C2F3E6925CF}"/>
    <dgm:cxn modelId="{CD61D3D7-D977-4115-B09E-A82B320D2C41}" type="presOf" srcId="{0DFC7546-9DEA-4AC4-8AF7-5663955A8EC9}" destId="{7B309770-F968-4B0B-BBAB-D297361ABEDB}" srcOrd="0" destOrd="0" presId="urn:microsoft.com/office/officeart/2005/8/layout/hierarchy1#7"/>
    <dgm:cxn modelId="{63AF0F59-5A94-4A86-97D1-9E5FA2EA15B7}" type="presOf" srcId="{A640A637-00B2-4DD5-8596-47785AC3BE8F}" destId="{8F10226D-7E3C-4158-92FE-7514BD98517B}" srcOrd="0" destOrd="0" presId="urn:microsoft.com/office/officeart/2005/8/layout/hierarchy1#7"/>
    <dgm:cxn modelId="{EBC61CEC-689F-412F-9B3D-0DC5E9750DE6}" type="presOf" srcId="{CF60BC90-B4FC-4B98-8451-9F618E51CD76}" destId="{A81093F1-81E9-45BC-9F94-28A899C4D604}" srcOrd="0" destOrd="0" presId="urn:microsoft.com/office/officeart/2005/8/layout/hierarchy1#7"/>
    <dgm:cxn modelId="{A24A5C74-4620-4FEE-B5FA-762268EE2991}" type="presParOf" srcId="{7261301C-9B4A-414C-8F98-B467C514C0DB}" destId="{E3F6ACFA-1EDD-4321-A7E3-EBBD85A13113}" srcOrd="0" destOrd="0" presId="urn:microsoft.com/office/officeart/2005/8/layout/hierarchy1#7"/>
    <dgm:cxn modelId="{74C53AFC-F5E0-4617-9130-99C18785D844}" type="presParOf" srcId="{E3F6ACFA-1EDD-4321-A7E3-EBBD85A13113}" destId="{C73FF140-72AB-4D28-A478-C6F7E85D8B47}" srcOrd="0" destOrd="0" presId="urn:microsoft.com/office/officeart/2005/8/layout/hierarchy1#7"/>
    <dgm:cxn modelId="{1E636BA3-001C-46A0-82F4-583B35F98D57}" type="presParOf" srcId="{C73FF140-72AB-4D28-A478-C6F7E85D8B47}" destId="{886B2A62-2115-42B6-9F98-D5FD9D2B1D14}" srcOrd="0" destOrd="0" presId="urn:microsoft.com/office/officeart/2005/8/layout/hierarchy1#7"/>
    <dgm:cxn modelId="{85E11A59-B96C-46E6-B7F8-986B8448DA97}" type="presParOf" srcId="{C73FF140-72AB-4D28-A478-C6F7E85D8B47}" destId="{6974CC6A-AC88-480F-A4C5-328ACDF32A6F}" srcOrd="1" destOrd="0" presId="urn:microsoft.com/office/officeart/2005/8/layout/hierarchy1#7"/>
    <dgm:cxn modelId="{EA820343-5A51-4A7C-AC0B-CD12F22A118D}" type="presParOf" srcId="{E3F6ACFA-1EDD-4321-A7E3-EBBD85A13113}" destId="{F62AF569-4562-4E32-9BDB-9DC646BEDF73}" srcOrd="1" destOrd="0" presId="urn:microsoft.com/office/officeart/2005/8/layout/hierarchy1#7"/>
    <dgm:cxn modelId="{3158FB3E-07A1-4C8A-B4B5-747FF29FF6A8}" type="presParOf" srcId="{F62AF569-4562-4E32-9BDB-9DC646BEDF73}" destId="{7B309770-F968-4B0B-BBAB-D297361ABEDB}" srcOrd="0" destOrd="0" presId="urn:microsoft.com/office/officeart/2005/8/layout/hierarchy1#7"/>
    <dgm:cxn modelId="{64778E54-EA38-4DAB-879A-D3F31AB5F399}" type="presParOf" srcId="{F62AF569-4562-4E32-9BDB-9DC646BEDF73}" destId="{87EB5F72-3614-43C7-B832-34B2005DC3B4}" srcOrd="1" destOrd="0" presId="urn:microsoft.com/office/officeart/2005/8/layout/hierarchy1#7"/>
    <dgm:cxn modelId="{DB07B129-10D8-4096-88EE-CEA1008BDA19}" type="presParOf" srcId="{87EB5F72-3614-43C7-B832-34B2005DC3B4}" destId="{17C704FF-D944-4ADF-A54A-E45E28FCAF34}" srcOrd="0" destOrd="0" presId="urn:microsoft.com/office/officeart/2005/8/layout/hierarchy1#7"/>
    <dgm:cxn modelId="{EFA3B24B-FED5-487C-B8FA-AFFF0F9289B3}" type="presParOf" srcId="{17C704FF-D944-4ADF-A54A-E45E28FCAF34}" destId="{6AE71D67-12EA-44FE-8C0B-C92F33DC7343}" srcOrd="0" destOrd="0" presId="urn:microsoft.com/office/officeart/2005/8/layout/hierarchy1#7"/>
    <dgm:cxn modelId="{993036F1-B952-43D8-B298-72EA575C2A7A}" type="presParOf" srcId="{17C704FF-D944-4ADF-A54A-E45E28FCAF34}" destId="{8F10226D-7E3C-4158-92FE-7514BD98517B}" srcOrd="1" destOrd="0" presId="urn:microsoft.com/office/officeart/2005/8/layout/hierarchy1#7"/>
    <dgm:cxn modelId="{EE28EA9F-BE53-449C-8844-8F8AF264D9DB}" type="presParOf" srcId="{87EB5F72-3614-43C7-B832-34B2005DC3B4}" destId="{65FA7CBF-E86A-4146-BAE1-EBAF09C00BA5}" srcOrd="1" destOrd="0" presId="urn:microsoft.com/office/officeart/2005/8/layout/hierarchy1#7"/>
    <dgm:cxn modelId="{D0AB5E47-CE18-4F45-89B9-83594F600F70}" type="presParOf" srcId="{F62AF569-4562-4E32-9BDB-9DC646BEDF73}" destId="{5D06FEC2-B505-4ECD-9C0F-C0705014FC50}" srcOrd="2" destOrd="0" presId="urn:microsoft.com/office/officeart/2005/8/layout/hierarchy1#7"/>
    <dgm:cxn modelId="{D261D51C-8E44-4A44-98E1-47D804F5C89F}" type="presParOf" srcId="{F62AF569-4562-4E32-9BDB-9DC646BEDF73}" destId="{D9DB03C0-0485-438A-8977-2C94C8A65D3C}" srcOrd="3" destOrd="0" presId="urn:microsoft.com/office/officeart/2005/8/layout/hierarchy1#7"/>
    <dgm:cxn modelId="{94142C0A-7B55-4DC1-8E76-F98FD4A66778}" type="presParOf" srcId="{D9DB03C0-0485-438A-8977-2C94C8A65D3C}" destId="{A0F776B2-D3CF-4628-8C15-722A470D7AA8}" srcOrd="0" destOrd="0" presId="urn:microsoft.com/office/officeart/2005/8/layout/hierarchy1#7"/>
    <dgm:cxn modelId="{BDD0E405-547B-459D-9E38-9AF2B6229875}" type="presParOf" srcId="{A0F776B2-D3CF-4628-8C15-722A470D7AA8}" destId="{A33BDEE4-F6A4-4EBB-8EF1-590C8BE92E38}" srcOrd="0" destOrd="0" presId="urn:microsoft.com/office/officeart/2005/8/layout/hierarchy1#7"/>
    <dgm:cxn modelId="{9E6AFAEE-26DF-45E5-80F9-0CDFA2AC94F3}" type="presParOf" srcId="{A0F776B2-D3CF-4628-8C15-722A470D7AA8}" destId="{96B5487D-F4C6-41DF-8D94-293FA42C6661}" srcOrd="1" destOrd="0" presId="urn:microsoft.com/office/officeart/2005/8/layout/hierarchy1#7"/>
    <dgm:cxn modelId="{FCD1347A-F39F-40AE-A37E-172698948872}" type="presParOf" srcId="{D9DB03C0-0485-438A-8977-2C94C8A65D3C}" destId="{DFC56957-853A-4911-B76E-EB0946122DD9}" srcOrd="1" destOrd="0" presId="urn:microsoft.com/office/officeart/2005/8/layout/hierarchy1#7"/>
    <dgm:cxn modelId="{94265987-1DFE-4665-83FA-4FE3D18CC738}" type="presParOf" srcId="{F62AF569-4562-4E32-9BDB-9DC646BEDF73}" destId="{519218DA-FFA2-42A8-87E5-362FB56D10AE}" srcOrd="4" destOrd="0" presId="urn:microsoft.com/office/officeart/2005/8/layout/hierarchy1#7"/>
    <dgm:cxn modelId="{EA313AD3-AE01-401D-9210-760049A57712}" type="presParOf" srcId="{F62AF569-4562-4E32-9BDB-9DC646BEDF73}" destId="{D7CA57D4-83C3-4210-92C9-C3E13C7BEB02}" srcOrd="5" destOrd="0" presId="urn:microsoft.com/office/officeart/2005/8/layout/hierarchy1#7"/>
    <dgm:cxn modelId="{1C3DB8E0-3480-4371-9278-5EE97A30817B}" type="presParOf" srcId="{D7CA57D4-83C3-4210-92C9-C3E13C7BEB02}" destId="{0BFAA032-805D-4874-A0C7-5459107D4A05}" srcOrd="0" destOrd="0" presId="urn:microsoft.com/office/officeart/2005/8/layout/hierarchy1#7"/>
    <dgm:cxn modelId="{4A14C388-80EB-45B9-857F-1D58AC7BCDE0}" type="presParOf" srcId="{0BFAA032-805D-4874-A0C7-5459107D4A05}" destId="{8C91A731-9C4A-4C24-B9BF-FFBEDAFA243C}" srcOrd="0" destOrd="0" presId="urn:microsoft.com/office/officeart/2005/8/layout/hierarchy1#7"/>
    <dgm:cxn modelId="{408FF21B-03FC-4001-9B16-B6A3BBE425BE}" type="presParOf" srcId="{0BFAA032-805D-4874-A0C7-5459107D4A05}" destId="{A81093F1-81E9-45BC-9F94-28A899C4D604}" srcOrd="1" destOrd="0" presId="urn:microsoft.com/office/officeart/2005/8/layout/hierarchy1#7"/>
    <dgm:cxn modelId="{B068DB01-3651-4C7D-A980-9DDEEACE36C2}" type="presParOf" srcId="{D7CA57D4-83C3-4210-92C9-C3E13C7BEB02}" destId="{18846AA3-7E5D-406D-9E14-F9BF89DF43C3}" srcOrd="1" destOrd="0" presId="urn:microsoft.com/office/officeart/2005/8/layout/hierarchy1#7"/>
  </dgm:cxnLst>
  <dgm:bg/>
  <dgm:whole/>
</dgm:dataModel>
</file>

<file path=word/diagrams/data3.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8" loCatId="hierarchy" qsTypeId="urn:microsoft.com/office/officeart/2005/8/quickstyle/simple1#8" qsCatId="simple" csTypeId="urn:microsoft.com/office/officeart/2005/8/colors/accent1_2#8"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B1</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决策过程</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C121</a:t>
          </a:r>
          <a:r>
            <a:rPr lang="zh-CN" altLang="en-US" sz="1200">
              <a:latin typeface="仿宋" panose="02010609060101010101" pitchFamily="3" charset="-122"/>
              <a:ea typeface="仿宋" panose="02010609060101010101" pitchFamily="3" charset="-122"/>
            </a:rPr>
            <a:t>决策依据</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C122</a:t>
          </a:r>
          <a:r>
            <a:rPr lang="zh-CN" altLang="en-US" sz="1200">
              <a:latin typeface="仿宋" panose="02010609060101010101" pitchFamily="3" charset="-122"/>
              <a:ea typeface="仿宋" panose="02010609060101010101" pitchFamily="3" charset="-122"/>
            </a:rPr>
            <a:t>决策程序</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Lst>
  <dgm:cxnLst>
    <dgm:cxn modelId="{F678ECFF-ADD2-49D5-97DE-33A844E9CEEA}" srcId="{D7A43BEB-FA12-4C0B-B759-6A062836903F}" destId="{1BDE227F-5A4C-48E8-9D2C-897B1D91E17E}" srcOrd="0" destOrd="0" parTransId="{6F46EC70-7AD3-4B5A-8717-89F00C57E370}" sibTransId="{574B75D4-2129-4D47-B96E-710FAE841DB3}"/>
    <dgm:cxn modelId="{67980CD5-DA03-486F-80E9-A42BE04AEEC1}" type="presOf" srcId="{1BDE227F-5A4C-48E8-9D2C-897B1D91E17E}" destId="{6974CC6A-AC88-480F-A4C5-328ACDF32A6F}" srcOrd="0" destOrd="0" presId="urn:microsoft.com/office/officeart/2005/8/layout/hierarchy1#8"/>
    <dgm:cxn modelId="{87E5BFB2-6814-440B-8976-6CC601B95B86}" type="presOf" srcId="{5432E5DD-71DB-4EF5-9DE2-CF79D938C733}" destId="{5D06FEC2-B505-4ECD-9C0F-C0705014FC50}" srcOrd="0" destOrd="0" presId="urn:microsoft.com/office/officeart/2005/8/layout/hierarchy1#8"/>
    <dgm:cxn modelId="{8249B6BD-5E00-456A-9AAB-863882EBD4F3}" type="presOf" srcId="{A640A637-00B2-4DD5-8596-47785AC3BE8F}" destId="{8F10226D-7E3C-4158-92FE-7514BD98517B}" srcOrd="0" destOrd="0" presId="urn:microsoft.com/office/officeart/2005/8/layout/hierarchy1#8"/>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7A52073A-FBA1-4732-AF14-03E9D4C3D089}" type="presOf" srcId="{EA4044AE-C928-4710-8F11-6CBDEE346021}" destId="{96B5487D-F4C6-41DF-8D94-293FA42C6661}" srcOrd="0" destOrd="0" presId="urn:microsoft.com/office/officeart/2005/8/layout/hierarchy1#8"/>
    <dgm:cxn modelId="{06462186-5C84-48FE-A374-267A9DE6E301}" type="presOf" srcId="{0DFC7546-9DEA-4AC4-8AF7-5663955A8EC9}" destId="{7B309770-F968-4B0B-BBAB-D297361ABEDB}" srcOrd="0" destOrd="0" presId="urn:microsoft.com/office/officeart/2005/8/layout/hierarchy1#8"/>
    <dgm:cxn modelId="{D4321347-9E65-43FE-A99A-AD78222E558F}" type="presOf" srcId="{D7A43BEB-FA12-4C0B-B759-6A062836903F}" destId="{7261301C-9B4A-414C-8F98-B467C514C0DB}" srcOrd="0" destOrd="0" presId="urn:microsoft.com/office/officeart/2005/8/layout/hierarchy1#8"/>
    <dgm:cxn modelId="{6BDF9F40-44A4-4745-B645-7542B2C6F7F4}" type="presParOf" srcId="{7261301C-9B4A-414C-8F98-B467C514C0DB}" destId="{E3F6ACFA-1EDD-4321-A7E3-EBBD85A13113}" srcOrd="0" destOrd="0" presId="urn:microsoft.com/office/officeart/2005/8/layout/hierarchy1#8"/>
    <dgm:cxn modelId="{71765B1C-F523-4696-8E52-FB1ADE9A6FE9}" type="presParOf" srcId="{E3F6ACFA-1EDD-4321-A7E3-EBBD85A13113}" destId="{C73FF140-72AB-4D28-A478-C6F7E85D8B47}" srcOrd="0" destOrd="0" presId="urn:microsoft.com/office/officeart/2005/8/layout/hierarchy1#8"/>
    <dgm:cxn modelId="{86930CD0-F84C-42BD-8F15-4E0CDB7D469B}" type="presParOf" srcId="{C73FF140-72AB-4D28-A478-C6F7E85D8B47}" destId="{886B2A62-2115-42B6-9F98-D5FD9D2B1D14}" srcOrd="0" destOrd="0" presId="urn:microsoft.com/office/officeart/2005/8/layout/hierarchy1#8"/>
    <dgm:cxn modelId="{E97FFC5F-0EB2-40F4-8B9A-D94B34CA6ABC}" type="presParOf" srcId="{C73FF140-72AB-4D28-A478-C6F7E85D8B47}" destId="{6974CC6A-AC88-480F-A4C5-328ACDF32A6F}" srcOrd="1" destOrd="0" presId="urn:microsoft.com/office/officeart/2005/8/layout/hierarchy1#8"/>
    <dgm:cxn modelId="{FC6641AA-5D6D-4914-9FEE-F682E3C4ED5E}" type="presParOf" srcId="{E3F6ACFA-1EDD-4321-A7E3-EBBD85A13113}" destId="{F62AF569-4562-4E32-9BDB-9DC646BEDF73}" srcOrd="1" destOrd="0" presId="urn:microsoft.com/office/officeart/2005/8/layout/hierarchy1#8"/>
    <dgm:cxn modelId="{7AB2E01B-14AA-428A-8845-9C005A37168D}" type="presParOf" srcId="{F62AF569-4562-4E32-9BDB-9DC646BEDF73}" destId="{7B309770-F968-4B0B-BBAB-D297361ABEDB}" srcOrd="0" destOrd="0" presId="urn:microsoft.com/office/officeart/2005/8/layout/hierarchy1#8"/>
    <dgm:cxn modelId="{B23F51C2-3502-49BE-8700-6F52635DCF04}" type="presParOf" srcId="{F62AF569-4562-4E32-9BDB-9DC646BEDF73}" destId="{87EB5F72-3614-43C7-B832-34B2005DC3B4}" srcOrd="1" destOrd="0" presId="urn:microsoft.com/office/officeart/2005/8/layout/hierarchy1#8"/>
    <dgm:cxn modelId="{421D1C56-86DF-44A7-B5F0-892CF1FA1C0A}" type="presParOf" srcId="{87EB5F72-3614-43C7-B832-34B2005DC3B4}" destId="{17C704FF-D944-4ADF-A54A-E45E28FCAF34}" srcOrd="0" destOrd="0" presId="urn:microsoft.com/office/officeart/2005/8/layout/hierarchy1#8"/>
    <dgm:cxn modelId="{D64415DD-288C-4A8E-8C8F-81BE95811C65}" type="presParOf" srcId="{17C704FF-D944-4ADF-A54A-E45E28FCAF34}" destId="{6AE71D67-12EA-44FE-8C0B-C92F33DC7343}" srcOrd="0" destOrd="0" presId="urn:microsoft.com/office/officeart/2005/8/layout/hierarchy1#8"/>
    <dgm:cxn modelId="{5E840D06-B339-41A9-9F10-5E7C84ED481F}" type="presParOf" srcId="{17C704FF-D944-4ADF-A54A-E45E28FCAF34}" destId="{8F10226D-7E3C-4158-92FE-7514BD98517B}" srcOrd="1" destOrd="0" presId="urn:microsoft.com/office/officeart/2005/8/layout/hierarchy1#8"/>
    <dgm:cxn modelId="{7CB3239A-10D0-43CF-AA25-45F67ADD54A7}" type="presParOf" srcId="{87EB5F72-3614-43C7-B832-34B2005DC3B4}" destId="{65FA7CBF-E86A-4146-BAE1-EBAF09C00BA5}" srcOrd="1" destOrd="0" presId="urn:microsoft.com/office/officeart/2005/8/layout/hierarchy1#8"/>
    <dgm:cxn modelId="{C3EFCA12-45A3-400A-A257-32B4EFB07323}" type="presParOf" srcId="{F62AF569-4562-4E32-9BDB-9DC646BEDF73}" destId="{5D06FEC2-B505-4ECD-9C0F-C0705014FC50}" srcOrd="2" destOrd="0" presId="urn:microsoft.com/office/officeart/2005/8/layout/hierarchy1#8"/>
    <dgm:cxn modelId="{9A7C61C3-6EB2-441B-BA43-384514809B0C}" type="presParOf" srcId="{F62AF569-4562-4E32-9BDB-9DC646BEDF73}" destId="{D9DB03C0-0485-438A-8977-2C94C8A65D3C}" srcOrd="3" destOrd="0" presId="urn:microsoft.com/office/officeart/2005/8/layout/hierarchy1#8"/>
    <dgm:cxn modelId="{4D3962DF-F80A-45C8-A856-0FFC1CFDDC61}" type="presParOf" srcId="{D9DB03C0-0485-438A-8977-2C94C8A65D3C}" destId="{A0F776B2-D3CF-4628-8C15-722A470D7AA8}" srcOrd="0" destOrd="0" presId="urn:microsoft.com/office/officeart/2005/8/layout/hierarchy1#8"/>
    <dgm:cxn modelId="{A2F37AD4-49A8-4CBD-BE3F-E8F64E5C30B7}" type="presParOf" srcId="{A0F776B2-D3CF-4628-8C15-722A470D7AA8}" destId="{A33BDEE4-F6A4-4EBB-8EF1-590C8BE92E38}" srcOrd="0" destOrd="0" presId="urn:microsoft.com/office/officeart/2005/8/layout/hierarchy1#8"/>
    <dgm:cxn modelId="{80B5F756-3E35-40A5-BD25-B7817086369B}" type="presParOf" srcId="{A0F776B2-D3CF-4628-8C15-722A470D7AA8}" destId="{96B5487D-F4C6-41DF-8D94-293FA42C6661}" srcOrd="1" destOrd="0" presId="urn:microsoft.com/office/officeart/2005/8/layout/hierarchy1#8"/>
    <dgm:cxn modelId="{F9C1AE19-B38C-4144-9AE2-49AB71FD64C3}" type="presParOf" srcId="{D9DB03C0-0485-438A-8977-2C94C8A65D3C}" destId="{DFC56957-853A-4911-B76E-EB0946122DD9}" srcOrd="1" destOrd="0" presId="urn:microsoft.com/office/officeart/2005/8/layout/hierarchy1#8"/>
  </dgm:cxnLst>
  <dgm:bg/>
  <dgm:whole/>
</dgm:dataModel>
</file>

<file path=word/diagrams/data4.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A2</a:t>
          </a:r>
          <a:r>
            <a:rPr lang="zh-CN" altLang="en-US" sz="1200">
              <a:latin typeface="仿宋" panose="02010609060101010101" pitchFamily="3" charset="-122"/>
              <a:ea typeface="仿宋" panose="02010609060101010101" pitchFamily="3" charset="-122"/>
            </a:rPr>
            <a:t>项目管理</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B22</a:t>
          </a:r>
          <a:r>
            <a:rPr lang="zh-CN" altLang="en-US" sz="1200">
              <a:latin typeface="仿宋" panose="02010609060101010101" pitchFamily="3" charset="-122"/>
              <a:ea typeface="仿宋" panose="02010609060101010101" pitchFamily="3" charset="-122"/>
            </a:rPr>
            <a:t>项目管控</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Lst>
  <dgm:cxnLst>
    <dgm:cxn modelId="{96C1C80B-99D2-46FC-9C04-C423674676FF}" type="presOf" srcId="{5432E5DD-71DB-4EF5-9DE2-CF79D938C733}" destId="{5D06FEC2-B505-4ECD-9C0F-C0705014FC50}" srcOrd="0" destOrd="0" presId="urn:microsoft.com/office/officeart/2005/8/layout/hierarchy1#9"/>
    <dgm:cxn modelId="{D75C6919-4CD4-465C-B727-41E4507F5B3E}" type="presOf" srcId="{1BDE227F-5A4C-48E8-9D2C-897B1D91E17E}" destId="{6974CC6A-AC88-480F-A4C5-328ACDF32A6F}" srcOrd="0" destOrd="0" presId="urn:microsoft.com/office/officeart/2005/8/layout/hierarchy1#9"/>
    <dgm:cxn modelId="{14004F1F-0251-413F-9242-F83F54AB9173}" type="presOf" srcId="{0DFC7546-9DEA-4AC4-8AF7-5663955A8EC9}" destId="{7B309770-F968-4B0B-BBAB-D297361ABEDB}"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F256E862-E9E8-42DE-B045-4EDAE9941FEB}" type="presOf" srcId="{A640A637-00B2-4DD5-8596-47785AC3BE8F}" destId="{8F10226D-7E3C-4158-92FE-7514BD98517B}" srcOrd="0" destOrd="0" presId="urn:microsoft.com/office/officeart/2005/8/layout/hierarchy1#9"/>
    <dgm:cxn modelId="{958E713A-2CF1-42BE-9F04-310ADB59A79E}" type="presOf" srcId="{EA4044AE-C928-4710-8F11-6CBDEE346021}" destId="{96B5487D-F4C6-41DF-8D94-293FA42C6661}"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CD7FB240-CB42-44DD-BE5E-CA701670CA1A}" type="presOf" srcId="{D7A43BEB-FA12-4C0B-B759-6A062836903F}" destId="{7261301C-9B4A-414C-8F98-B467C514C0DB}" srcOrd="0" destOrd="0" presId="urn:microsoft.com/office/officeart/2005/8/layout/hierarchy1#9"/>
    <dgm:cxn modelId="{195453E8-761D-411F-AF3A-300928D90ED0}" type="presParOf" srcId="{7261301C-9B4A-414C-8F98-B467C514C0DB}" destId="{E3F6ACFA-1EDD-4321-A7E3-EBBD85A13113}" srcOrd="0" destOrd="0" presId="urn:microsoft.com/office/officeart/2005/8/layout/hierarchy1#9"/>
    <dgm:cxn modelId="{E1FF9E2E-1B3C-42E5-A538-4FD4CC2563CF}" type="presParOf" srcId="{E3F6ACFA-1EDD-4321-A7E3-EBBD85A13113}" destId="{C73FF140-72AB-4D28-A478-C6F7E85D8B47}" srcOrd="0" destOrd="0" presId="urn:microsoft.com/office/officeart/2005/8/layout/hierarchy1#9"/>
    <dgm:cxn modelId="{2467AECF-6D8A-476A-A176-6752603C9F14}" type="presParOf" srcId="{C73FF140-72AB-4D28-A478-C6F7E85D8B47}" destId="{886B2A62-2115-42B6-9F98-D5FD9D2B1D14}" srcOrd="0" destOrd="0" presId="urn:microsoft.com/office/officeart/2005/8/layout/hierarchy1#9"/>
    <dgm:cxn modelId="{64605B36-CF4F-4BAB-9D36-87A37F6E9612}" type="presParOf" srcId="{C73FF140-72AB-4D28-A478-C6F7E85D8B47}" destId="{6974CC6A-AC88-480F-A4C5-328ACDF32A6F}" srcOrd="1" destOrd="0" presId="urn:microsoft.com/office/officeart/2005/8/layout/hierarchy1#9"/>
    <dgm:cxn modelId="{8C28E91F-11B0-432B-9410-B406A7255CD2}" type="presParOf" srcId="{E3F6ACFA-1EDD-4321-A7E3-EBBD85A13113}" destId="{F62AF569-4562-4E32-9BDB-9DC646BEDF73}" srcOrd="1" destOrd="0" presId="urn:microsoft.com/office/officeart/2005/8/layout/hierarchy1#9"/>
    <dgm:cxn modelId="{EF8417CF-3D2D-4213-8476-29D3F88D42F8}" type="presParOf" srcId="{F62AF569-4562-4E32-9BDB-9DC646BEDF73}" destId="{7B309770-F968-4B0B-BBAB-D297361ABEDB}" srcOrd="0" destOrd="0" presId="urn:microsoft.com/office/officeart/2005/8/layout/hierarchy1#9"/>
    <dgm:cxn modelId="{77A13700-FD1A-430E-9091-E50F8431D66F}" type="presParOf" srcId="{F62AF569-4562-4E32-9BDB-9DC646BEDF73}" destId="{87EB5F72-3614-43C7-B832-34B2005DC3B4}" srcOrd="1" destOrd="0" presId="urn:microsoft.com/office/officeart/2005/8/layout/hierarchy1#9"/>
    <dgm:cxn modelId="{9E9A693C-739F-4CEB-8A3D-50E5B988D200}" type="presParOf" srcId="{87EB5F72-3614-43C7-B832-34B2005DC3B4}" destId="{17C704FF-D944-4ADF-A54A-E45E28FCAF34}" srcOrd="0" destOrd="0" presId="urn:microsoft.com/office/officeart/2005/8/layout/hierarchy1#9"/>
    <dgm:cxn modelId="{94BCD9D6-F346-452B-912C-B25D1CE9E0B4}" type="presParOf" srcId="{17C704FF-D944-4ADF-A54A-E45E28FCAF34}" destId="{6AE71D67-12EA-44FE-8C0B-C92F33DC7343}" srcOrd="0" destOrd="0" presId="urn:microsoft.com/office/officeart/2005/8/layout/hierarchy1#9"/>
    <dgm:cxn modelId="{42BBCE59-0A1D-44D8-8206-2A2CF84A5A66}" type="presParOf" srcId="{17C704FF-D944-4ADF-A54A-E45E28FCAF34}" destId="{8F10226D-7E3C-4158-92FE-7514BD98517B}" srcOrd="1" destOrd="0" presId="urn:microsoft.com/office/officeart/2005/8/layout/hierarchy1#9"/>
    <dgm:cxn modelId="{7113CC07-8093-4229-BEFC-819EE73251BF}" type="presParOf" srcId="{87EB5F72-3614-43C7-B832-34B2005DC3B4}" destId="{65FA7CBF-E86A-4146-BAE1-EBAF09C00BA5}" srcOrd="1" destOrd="0" presId="urn:microsoft.com/office/officeart/2005/8/layout/hierarchy1#9"/>
    <dgm:cxn modelId="{79EC8023-706D-4299-AFEA-1E985D37D32E}" type="presParOf" srcId="{F62AF569-4562-4E32-9BDB-9DC646BEDF73}" destId="{5D06FEC2-B505-4ECD-9C0F-C0705014FC50}" srcOrd="2" destOrd="0" presId="urn:microsoft.com/office/officeart/2005/8/layout/hierarchy1#9"/>
    <dgm:cxn modelId="{EEF50B00-129B-42DF-8424-E9C8055833BA}" type="presParOf" srcId="{F62AF569-4562-4E32-9BDB-9DC646BEDF73}" destId="{D9DB03C0-0485-438A-8977-2C94C8A65D3C}" srcOrd="3" destOrd="0" presId="urn:microsoft.com/office/officeart/2005/8/layout/hierarchy1#9"/>
    <dgm:cxn modelId="{B1E82A46-886E-4EFC-9044-66766810219D}" type="presParOf" srcId="{D9DB03C0-0485-438A-8977-2C94C8A65D3C}" destId="{A0F776B2-D3CF-4628-8C15-722A470D7AA8}" srcOrd="0" destOrd="0" presId="urn:microsoft.com/office/officeart/2005/8/layout/hierarchy1#9"/>
    <dgm:cxn modelId="{08FEB0DF-5D56-4A24-BE0F-B3086AE76676}" type="presParOf" srcId="{A0F776B2-D3CF-4628-8C15-722A470D7AA8}" destId="{A33BDEE4-F6A4-4EBB-8EF1-590C8BE92E38}" srcOrd="0" destOrd="0" presId="urn:microsoft.com/office/officeart/2005/8/layout/hierarchy1#9"/>
    <dgm:cxn modelId="{88604FBB-CE26-4995-BD8E-1275623EBAED}" type="presParOf" srcId="{A0F776B2-D3CF-4628-8C15-722A470D7AA8}" destId="{96B5487D-F4C6-41DF-8D94-293FA42C6661}" srcOrd="1" destOrd="0" presId="urn:microsoft.com/office/officeart/2005/8/layout/hierarchy1#9"/>
    <dgm:cxn modelId="{0B9E5955-C86F-4759-A525-BAB043AAE232}" type="presParOf" srcId="{D9DB03C0-0485-438A-8977-2C94C8A65D3C}" destId="{DFC56957-853A-4911-B76E-EB0946122DD9}" srcOrd="1" destOrd="0" presId="urn:microsoft.com/office/officeart/2005/8/layout/hierarchy1#9"/>
  </dgm:cxnLst>
  <dgm:bg/>
  <dgm:whole/>
</dgm:dataModel>
</file>

<file path=word/diagrams/data5.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1" loCatId="hierarchy" qsTypeId="urn:microsoft.com/office/officeart/2005/8/quickstyle/simple1#1" qsCatId="simple" csTypeId="urn:microsoft.com/office/officeart/2005/8/colors/accent1_2#1"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资金到位</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资金使用</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6C128602-CF51-459A-A325-F66785BB38D6}">
      <dgm:prSet phldrT="[文本]" custT="1"/>
      <dgm:spPr/>
      <dgm:t>
        <a:bodyPr/>
        <a:p>
          <a:r>
            <a:rPr lang="en-US" altLang="zh-CN" sz="1200">
              <a:latin typeface="仿宋" panose="02010609060101010101" pitchFamily="3" charset="-122"/>
              <a:ea typeface="仿宋" panose="02010609060101010101" pitchFamily="3" charset="-122"/>
            </a:rPr>
            <a:t>C213</a:t>
          </a:r>
          <a:r>
            <a:rPr lang="zh-CN" altLang="en-US" sz="1200">
              <a:latin typeface="仿宋" panose="02010609060101010101" pitchFamily="3" charset="-122"/>
              <a:ea typeface="仿宋" panose="02010609060101010101" pitchFamily="3" charset="-122"/>
            </a:rPr>
            <a:t>财务管理</a:t>
          </a:r>
        </a:p>
      </dgm:t>
    </dgm:pt>
    <dgm:pt modelId="{4DA2E343-F364-4BC6-BC41-3F0021C2BB97}" cxnId="{88325195-B315-4882-A5A8-51128ADEB35F}" type="parTrans">
      <dgm:prSet/>
      <dgm:spPr/>
    </dgm:pt>
    <dgm:pt modelId="{C503CCCE-B4C4-4F62-AF7F-B7B5E43431EE}" cxnId="{88325195-B315-4882-A5A8-51128ADEB35F}" type="sibTrans">
      <dgm:prSet/>
      <dgm:spPr/>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0538" custScaleY="42523"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 modelId="{85C317BC-662E-4485-B610-C64501598215}" type="pres">
      <dgm:prSet presAssocID="{4DA2E343-F364-4BC6-BC41-3F0021C2BB97}" presName="Name10" presStyleLbl="parChTrans1D2" presStyleIdx="2" presStyleCnt="3"/>
      <dgm:spPr/>
    </dgm:pt>
    <dgm:pt modelId="{DC6C619B-2B35-4437-A8FB-6A7093627E33}" type="pres">
      <dgm:prSet presAssocID="{6C128602-CF51-459A-A325-F66785BB38D6}" presName="hierRoot2" presStyleCnt="0"/>
      <dgm:spPr/>
    </dgm:pt>
    <dgm:pt modelId="{BFA8F19D-4B6F-4DBE-8B3C-8CE9B9AFB074}" type="pres">
      <dgm:prSet presAssocID="{6C128602-CF51-459A-A325-F66785BB38D6}" presName="composite2" presStyleCnt="0"/>
      <dgm:spPr/>
    </dgm:pt>
    <dgm:pt modelId="{207D57D5-9114-4B86-AF6F-6E1618F037BD}" type="pres">
      <dgm:prSet presAssocID="{6C128602-CF51-459A-A325-F66785BB38D6}" presName="background2" presStyleLbl="node2" presStyleIdx="2" presStyleCnt="3"/>
      <dgm:spPr/>
    </dgm:pt>
    <dgm:pt modelId="{44126538-B39B-419D-A074-09F4B33DE7CF}" type="pres">
      <dgm:prSet presAssocID="{6C128602-CF51-459A-A325-F66785BB38D6}" presName="text2" presStyleLbl="fgAcc2" presStyleIdx="2" presStyleCnt="3" custScaleX="127731" custScaleY="40111">
        <dgm:presLayoutVars>
          <dgm:chPref val="3"/>
        </dgm:presLayoutVars>
      </dgm:prSet>
      <dgm:spPr/>
      <dgm:t>
        <a:bodyPr/>
        <a:p>
          <a:endParaRPr lang="zh-CN" altLang="en-US"/>
        </a:p>
      </dgm:t>
    </dgm:pt>
    <dgm:pt modelId="{28603CDD-6AAC-4690-9545-FF62BEC222B2}" type="pres">
      <dgm:prSet presAssocID="{6C128602-CF51-459A-A325-F66785BB38D6}" presName="hierChild3" presStyleCnt="0"/>
      <dgm:spPr/>
    </dgm:pt>
  </dgm:ptLst>
  <dgm:cxnLst>
    <dgm:cxn modelId="{88325195-B315-4882-A5A8-51128ADEB35F}" srcId="{1BDE227F-5A4C-48E8-9D2C-897B1D91E17E}" destId="{6C128602-CF51-459A-A325-F66785BB38D6}" srcOrd="2" destOrd="0" parTransId="{4DA2E343-F364-4BC6-BC41-3F0021C2BB97}" sibTransId="{C503CCCE-B4C4-4F62-AF7F-B7B5E43431EE}"/>
    <dgm:cxn modelId="{2B9A5140-96A1-4D8C-BF27-EECD7517E0ED}" type="presOf" srcId="{4DA2E343-F364-4BC6-BC41-3F0021C2BB97}" destId="{85C317BC-662E-4485-B610-C64501598215}" srcOrd="0" destOrd="0" presId="urn:microsoft.com/office/officeart/2005/8/layout/hierarchy1#1"/>
    <dgm:cxn modelId="{A5805E8D-286A-4A27-BEB5-A409CC1721B2}" type="presOf" srcId="{D7A43BEB-FA12-4C0B-B759-6A062836903F}" destId="{7261301C-9B4A-414C-8F98-B467C514C0DB}" srcOrd="0" destOrd="0" presId="urn:microsoft.com/office/officeart/2005/8/layout/hierarchy1#1"/>
    <dgm:cxn modelId="{9A11B114-8A66-462B-BAE1-AD17079BC324}" type="presOf" srcId="{EA4044AE-C928-4710-8F11-6CBDEE346021}" destId="{96B5487D-F4C6-41DF-8D94-293FA42C6661}" srcOrd="0" destOrd="0" presId="urn:microsoft.com/office/officeart/2005/8/layout/hierarchy1#1"/>
    <dgm:cxn modelId="{955ADCCE-4C05-4542-8955-0C1E10285728}" type="presOf" srcId="{1BDE227F-5A4C-48E8-9D2C-897B1D91E17E}" destId="{6974CC6A-AC88-480F-A4C5-328ACDF32A6F}" srcOrd="0" destOrd="0" presId="urn:microsoft.com/office/officeart/2005/8/layout/hierarchy1#1"/>
    <dgm:cxn modelId="{F678ECFF-ADD2-49D5-97DE-33A844E9CEEA}" srcId="{D7A43BEB-FA12-4C0B-B759-6A062836903F}" destId="{1BDE227F-5A4C-48E8-9D2C-897B1D91E17E}" srcOrd="0" destOrd="0" parTransId="{6F46EC70-7AD3-4B5A-8717-89F00C57E370}" sibTransId="{574B75D4-2129-4D47-B96E-710FAE841DB3}"/>
    <dgm:cxn modelId="{816C01EC-0E61-407A-8F1F-5B2D954AC7C1}" type="presOf" srcId="{6C128602-CF51-459A-A325-F66785BB38D6}" destId="{44126538-B39B-419D-A074-09F4B33DE7CF}" srcOrd="0" destOrd="0" presId="urn:microsoft.com/office/officeart/2005/8/layout/hierarchy1#1"/>
    <dgm:cxn modelId="{B875C157-9C56-4078-A6A8-A9A0F5CAC4CF}" type="presOf" srcId="{5432E5DD-71DB-4EF5-9DE2-CF79D938C733}" destId="{5D06FEC2-B505-4ECD-9C0F-C0705014FC50}" srcOrd="0" destOrd="0" presId="urn:microsoft.com/office/officeart/2005/8/layout/hierarchy1#1"/>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CB42A965-3BB7-4EA5-82E2-3C8FBC328996}" type="presOf" srcId="{0DFC7546-9DEA-4AC4-8AF7-5663955A8EC9}" destId="{7B309770-F968-4B0B-BBAB-D297361ABEDB}" srcOrd="0" destOrd="0" presId="urn:microsoft.com/office/officeart/2005/8/layout/hierarchy1#1"/>
    <dgm:cxn modelId="{77A20C99-8E6E-43EA-BCBF-C4C4CFCE58D9}" type="presOf" srcId="{A640A637-00B2-4DD5-8596-47785AC3BE8F}" destId="{8F10226D-7E3C-4158-92FE-7514BD98517B}" srcOrd="0" destOrd="0" presId="urn:microsoft.com/office/officeart/2005/8/layout/hierarchy1#1"/>
    <dgm:cxn modelId="{C485CC1C-5933-43C3-B9CA-E58DA942DC3E}" type="presParOf" srcId="{7261301C-9B4A-414C-8F98-B467C514C0DB}" destId="{E3F6ACFA-1EDD-4321-A7E3-EBBD85A13113}" srcOrd="0" destOrd="0" presId="urn:microsoft.com/office/officeart/2005/8/layout/hierarchy1#1"/>
    <dgm:cxn modelId="{2ECBCCCE-E0FE-4AAB-A0EE-BE4B24722EDA}" type="presParOf" srcId="{E3F6ACFA-1EDD-4321-A7E3-EBBD85A13113}" destId="{C73FF140-72AB-4D28-A478-C6F7E85D8B47}" srcOrd="0" destOrd="0" presId="urn:microsoft.com/office/officeart/2005/8/layout/hierarchy1#1"/>
    <dgm:cxn modelId="{EF8DBD5A-AA2F-4548-BCEB-205C099B0CCA}" type="presParOf" srcId="{C73FF140-72AB-4D28-A478-C6F7E85D8B47}" destId="{886B2A62-2115-42B6-9F98-D5FD9D2B1D14}" srcOrd="0" destOrd="0" presId="urn:microsoft.com/office/officeart/2005/8/layout/hierarchy1#1"/>
    <dgm:cxn modelId="{D20A6B15-F61E-43E7-8A60-C67584F95477}" type="presParOf" srcId="{C73FF140-72AB-4D28-A478-C6F7E85D8B47}" destId="{6974CC6A-AC88-480F-A4C5-328ACDF32A6F}" srcOrd="1" destOrd="0" presId="urn:microsoft.com/office/officeart/2005/8/layout/hierarchy1#1"/>
    <dgm:cxn modelId="{B6B04E80-1D45-4CCF-AED6-16FAD359EBB9}" type="presParOf" srcId="{E3F6ACFA-1EDD-4321-A7E3-EBBD85A13113}" destId="{F62AF569-4562-4E32-9BDB-9DC646BEDF73}" srcOrd="1" destOrd="0" presId="urn:microsoft.com/office/officeart/2005/8/layout/hierarchy1#1"/>
    <dgm:cxn modelId="{CECC3D36-43ED-4A21-A332-7A4B552C27C5}" type="presParOf" srcId="{F62AF569-4562-4E32-9BDB-9DC646BEDF73}" destId="{7B309770-F968-4B0B-BBAB-D297361ABEDB}" srcOrd="0" destOrd="0" presId="urn:microsoft.com/office/officeart/2005/8/layout/hierarchy1#1"/>
    <dgm:cxn modelId="{CC4C6F05-0EBB-48E2-9889-1EDAA9730F2F}" type="presParOf" srcId="{F62AF569-4562-4E32-9BDB-9DC646BEDF73}" destId="{87EB5F72-3614-43C7-B832-34B2005DC3B4}" srcOrd="1" destOrd="0" presId="urn:microsoft.com/office/officeart/2005/8/layout/hierarchy1#1"/>
    <dgm:cxn modelId="{7FD51A9B-CC30-4A26-AB39-E0FD0C7CA6C1}" type="presParOf" srcId="{87EB5F72-3614-43C7-B832-34B2005DC3B4}" destId="{17C704FF-D944-4ADF-A54A-E45E28FCAF34}" srcOrd="0" destOrd="0" presId="urn:microsoft.com/office/officeart/2005/8/layout/hierarchy1#1"/>
    <dgm:cxn modelId="{BC92FA3A-2487-4827-83D9-F9D2838803EE}" type="presParOf" srcId="{17C704FF-D944-4ADF-A54A-E45E28FCAF34}" destId="{6AE71D67-12EA-44FE-8C0B-C92F33DC7343}" srcOrd="0" destOrd="0" presId="urn:microsoft.com/office/officeart/2005/8/layout/hierarchy1#1"/>
    <dgm:cxn modelId="{1AB07701-C8A8-4C43-97E0-D6E57504F780}" type="presParOf" srcId="{17C704FF-D944-4ADF-A54A-E45E28FCAF34}" destId="{8F10226D-7E3C-4158-92FE-7514BD98517B}" srcOrd="1" destOrd="0" presId="urn:microsoft.com/office/officeart/2005/8/layout/hierarchy1#1"/>
    <dgm:cxn modelId="{3ED5EF54-063F-4B1B-A786-E3F4FB533FF1}" type="presParOf" srcId="{87EB5F72-3614-43C7-B832-34B2005DC3B4}" destId="{65FA7CBF-E86A-4146-BAE1-EBAF09C00BA5}" srcOrd="1" destOrd="0" presId="urn:microsoft.com/office/officeart/2005/8/layout/hierarchy1#1"/>
    <dgm:cxn modelId="{DADE2F0F-B004-43FE-A8E2-8F4B3DDEB1B0}" type="presParOf" srcId="{F62AF569-4562-4E32-9BDB-9DC646BEDF73}" destId="{5D06FEC2-B505-4ECD-9C0F-C0705014FC50}" srcOrd="2" destOrd="0" presId="urn:microsoft.com/office/officeart/2005/8/layout/hierarchy1#1"/>
    <dgm:cxn modelId="{2911F583-F7FA-4881-BAC9-81C5F6626841}" type="presParOf" srcId="{F62AF569-4562-4E32-9BDB-9DC646BEDF73}" destId="{D9DB03C0-0485-438A-8977-2C94C8A65D3C}" srcOrd="3" destOrd="0" presId="urn:microsoft.com/office/officeart/2005/8/layout/hierarchy1#1"/>
    <dgm:cxn modelId="{65F025A5-26E1-41CA-9F87-E6F152435814}" type="presParOf" srcId="{D9DB03C0-0485-438A-8977-2C94C8A65D3C}" destId="{A0F776B2-D3CF-4628-8C15-722A470D7AA8}" srcOrd="0" destOrd="0" presId="urn:microsoft.com/office/officeart/2005/8/layout/hierarchy1#1"/>
    <dgm:cxn modelId="{3E1227AB-5D25-4A94-B443-48BF4E98E959}" type="presParOf" srcId="{A0F776B2-D3CF-4628-8C15-722A470D7AA8}" destId="{A33BDEE4-F6A4-4EBB-8EF1-590C8BE92E38}" srcOrd="0" destOrd="0" presId="urn:microsoft.com/office/officeart/2005/8/layout/hierarchy1#1"/>
    <dgm:cxn modelId="{5BA6016D-1C57-4963-82E3-521E5C05BA25}" type="presParOf" srcId="{A0F776B2-D3CF-4628-8C15-722A470D7AA8}" destId="{96B5487D-F4C6-41DF-8D94-293FA42C6661}" srcOrd="1" destOrd="0" presId="urn:microsoft.com/office/officeart/2005/8/layout/hierarchy1#1"/>
    <dgm:cxn modelId="{7779ECC1-D3E4-4EB4-BD3D-638D3C43AE47}" type="presParOf" srcId="{D9DB03C0-0485-438A-8977-2C94C8A65D3C}" destId="{DFC56957-853A-4911-B76E-EB0946122DD9}" srcOrd="1" destOrd="0" presId="urn:microsoft.com/office/officeart/2005/8/layout/hierarchy1#1"/>
    <dgm:cxn modelId="{34988012-44B9-44FC-BD4E-639AAC06DB10}" type="presParOf" srcId="{F62AF569-4562-4E32-9BDB-9DC646BEDF73}" destId="{85C317BC-662E-4485-B610-C64501598215}" srcOrd="4" destOrd="0" presId="urn:microsoft.com/office/officeart/2005/8/layout/hierarchy1#1"/>
    <dgm:cxn modelId="{20CA06F1-84EA-4AEF-BB5E-B5973E40CCF6}" type="presParOf" srcId="{F62AF569-4562-4E32-9BDB-9DC646BEDF73}" destId="{DC6C619B-2B35-4437-A8FB-6A7093627E33}" srcOrd="5" destOrd="0" presId="urn:microsoft.com/office/officeart/2005/8/layout/hierarchy1#1"/>
    <dgm:cxn modelId="{0743B52D-B240-4D66-983E-0C6E0B42BDAC}" type="presParOf" srcId="{DC6C619B-2B35-4437-A8FB-6A7093627E33}" destId="{BFA8F19D-4B6F-4DBE-8B3C-8CE9B9AFB074}" srcOrd="0" destOrd="0" presId="urn:microsoft.com/office/officeart/2005/8/layout/hierarchy1#1"/>
    <dgm:cxn modelId="{56E1449E-A2B1-43B0-8B31-60152A4A9E7F}" type="presParOf" srcId="{BFA8F19D-4B6F-4DBE-8B3C-8CE9B9AFB074}" destId="{207D57D5-9114-4B86-AF6F-6E1618F037BD}" srcOrd="0" destOrd="0" presId="urn:microsoft.com/office/officeart/2005/8/layout/hierarchy1#1"/>
    <dgm:cxn modelId="{0A172DFE-D9DF-4829-8CAB-B1A84D7279AB}" type="presParOf" srcId="{BFA8F19D-4B6F-4DBE-8B3C-8CE9B9AFB074}" destId="{44126538-B39B-419D-A074-09F4B33DE7CF}" srcOrd="1" destOrd="0" presId="urn:microsoft.com/office/officeart/2005/8/layout/hierarchy1#1"/>
    <dgm:cxn modelId="{8EC46303-0C85-48F5-A8EF-6E4253540181}" type="presParOf" srcId="{DC6C619B-2B35-4437-A8FB-6A7093627E33}" destId="{28603CDD-6AAC-4690-9545-FF62BEC222B2}" srcOrd="1" destOrd="0" presId="urn:microsoft.com/office/officeart/2005/8/layout/hierarchy1#1"/>
  </dgm:cxnLst>
  <dgm:bg/>
  <dgm:whole/>
</dgm:dataModel>
</file>

<file path=word/diagrams/data6.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p>
          <a:endParaRPr lang="zh-CN" altLang="en-US"/>
        </a:p>
      </dgm:t>
    </dgm:pt>
    <dgm:pt modelId="{1BDE227F-5A4C-48E8-9D2C-897B1D91E17E}">
      <dgm:prSet phldrT="[文本]" custT="1"/>
      <dgm:spPr/>
      <dgm:t>
        <a:bodyPr/>
        <a:p>
          <a:r>
            <a:rPr lang="en-US" altLang="zh-CN" sz="1200">
              <a:latin typeface="仿宋" panose="02010609060101010101" pitchFamily="3" charset="-122"/>
              <a:ea typeface="仿宋" panose="02010609060101010101" pitchFamily="3" charset="-122"/>
            </a:rPr>
            <a:t>B</a:t>
          </a:r>
          <a:r>
            <a:rPr lang="en-US" altLang="en-US" sz="1200">
              <a:latin typeface="仿宋" panose="02010609060101010101" pitchFamily="3" charset="-122"/>
              <a:ea typeface="仿宋" panose="02010609060101010101" pitchFamily="3" charset="-122"/>
            </a:rPr>
            <a:t>22</a:t>
          </a:r>
          <a:r>
            <a:rPr lang="zh-CN" altLang="en-US" sz="1200">
              <a:latin typeface="仿宋" panose="02010609060101010101" pitchFamily="3" charset="-122"/>
              <a:ea typeface="仿宋" panose="02010609060101010101" pitchFamily="3" charset="-122"/>
            </a:rPr>
            <a:t>项目管控</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zh-CN" sz="1200">
              <a:latin typeface="仿宋" panose="02010609060101010101" pitchFamily="3" charset="-122"/>
              <a:ea typeface="仿宋" panose="02010609060101010101" pitchFamily="3" charset="-122"/>
            </a:rPr>
            <a:t>C221</a:t>
          </a:r>
          <a:r>
            <a:rPr lang="zh-CN" altLang="en-US" sz="1200">
              <a:latin typeface="仿宋" panose="02010609060101010101" pitchFamily="3" charset="-122"/>
              <a:ea typeface="仿宋" panose="02010609060101010101" pitchFamily="3" charset="-122"/>
            </a:rPr>
            <a:t>制度有效</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C222</a:t>
          </a:r>
          <a:r>
            <a:rPr lang="zh-CN" altLang="en-US" sz="1200">
              <a:latin typeface="仿宋" panose="02010609060101010101" pitchFamily="3" charset="-122"/>
              <a:ea typeface="仿宋" panose="02010609060101010101" pitchFamily="3" charset="-122"/>
            </a:rPr>
            <a:t>进度管理</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E4895624-4E73-4624-931F-BDFD87FEAFFB}">
      <dgm:prSet phldrT="[文本]" custT="1"/>
      <dgm:spPr/>
      <dgm:t>
        <a:bodyPr/>
        <a:p>
          <a:r>
            <a:rPr lang="en-US" altLang="en-US" sz="1200">
              <a:latin typeface="仿宋" panose="02010609060101010101" pitchFamily="3" charset="-122"/>
              <a:ea typeface="仿宋" panose="02010609060101010101" pitchFamily="3" charset="-122"/>
            </a:rPr>
            <a:t>C224</a:t>
          </a:r>
          <a:r>
            <a:rPr lang="zh-CN" altLang="en-US" sz="1200">
              <a:latin typeface="仿宋" panose="02010609060101010101" pitchFamily="3" charset="-122"/>
              <a:ea typeface="仿宋" panose="02010609060101010101" pitchFamily="3" charset="-122"/>
            </a:rPr>
            <a:t>成本管理</a:t>
          </a:r>
        </a:p>
      </dgm:t>
    </dgm:pt>
    <dgm:pt modelId="{1A81C70C-D419-4F39-8322-D7C28B636CD8}" cxnId="{EBA05263-2B77-4817-AF03-6B5423F2553B}" type="parTrans">
      <dgm:prSet/>
      <dgm:spPr/>
      <dgm:t>
        <a:bodyPr/>
        <a:p>
          <a:endParaRPr lang="zh-CN" altLang="en-US"/>
        </a:p>
      </dgm:t>
    </dgm:pt>
    <dgm:pt modelId="{3AB4D7F9-4306-47CB-A23B-14D9565D01D9}" cxnId="{EBA05263-2B77-4817-AF03-6B5423F2553B}" type="sibTrans">
      <dgm:prSet/>
      <dgm:spPr/>
      <dgm:t>
        <a:bodyPr/>
        <a:p>
          <a:endParaRPr lang="zh-CN" altLang="en-US"/>
        </a:p>
      </dgm:t>
    </dgm:pt>
    <dgm:pt modelId="{5D9B6B2D-8B93-45A8-B342-8DE023548407}">
      <dgm:prSet phldrT="[文本]" custT="1"/>
      <dgm:spPr/>
      <dgm:t>
        <a:bodyPr/>
        <a:p>
          <a:r>
            <a:rPr lang="en-US" altLang="en-US" sz="1200">
              <a:latin typeface="仿宋" panose="02010609060101010101" pitchFamily="3" charset="-122"/>
              <a:ea typeface="仿宋" panose="02010609060101010101" pitchFamily="3" charset="-122"/>
            </a:rPr>
            <a:t>C223</a:t>
          </a:r>
          <a:r>
            <a:rPr lang="zh-CN" altLang="en-US" sz="1200">
              <a:latin typeface="仿宋" panose="02010609060101010101" pitchFamily="3" charset="-122"/>
              <a:ea typeface="仿宋" panose="02010609060101010101" pitchFamily="3" charset="-122"/>
            </a:rPr>
            <a:t>质量管理</a:t>
          </a:r>
        </a:p>
      </dgm:t>
    </dgm:pt>
    <dgm:pt modelId="{B6CDC171-7F73-46E6-A3CF-44B089D3B9EA}" cxnId="{DBF6EA80-EEE5-46F2-BF5F-E2DAFA3E5A66}" type="parTrans">
      <dgm:prSet/>
      <dgm:spPr/>
      <dgm:t>
        <a:bodyPr/>
        <a:p>
          <a:endParaRPr lang="zh-CN" altLang="en-US"/>
        </a:p>
      </dgm:t>
    </dgm:pt>
    <dgm:pt modelId="{4255651E-CE3D-4320-B1B1-9AC36136B1AF}" cxnId="{DBF6EA80-EEE5-46F2-BF5F-E2DAFA3E5A66}"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64925" custScaleY="70583"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39821" custScaleY="78881">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30538" custScaleY="71912"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 modelId="{2E8082BB-F9A0-4CB5-8F92-D0BB31200C0D}" type="pres">
      <dgm:prSet presAssocID="{B6CDC171-7F73-46E6-A3CF-44B089D3B9EA}" presName="Name10" presStyleLbl="parChTrans1D2" presStyleIdx="2" presStyleCnt="4"/>
      <dgm:spPr/>
      <dgm:t>
        <a:bodyPr/>
        <a:p>
          <a:endParaRPr lang="zh-CN" altLang="en-US"/>
        </a:p>
      </dgm:t>
    </dgm:pt>
    <dgm:pt modelId="{C6EBE90E-6EBB-4E14-B1A3-D3E2F120B107}" type="pres">
      <dgm:prSet presAssocID="{5D9B6B2D-8B93-45A8-B342-8DE023548407}" presName="hierRoot2" presStyleCnt="0"/>
      <dgm:spPr/>
    </dgm:pt>
    <dgm:pt modelId="{C5AB6216-E7A4-4FDF-898B-C5324F9643A2}" type="pres">
      <dgm:prSet presAssocID="{5D9B6B2D-8B93-45A8-B342-8DE023548407}" presName="composite2" presStyleCnt="0"/>
      <dgm:spPr/>
    </dgm:pt>
    <dgm:pt modelId="{E4B85580-6F28-4A58-8704-60C90A1AA6FB}" type="pres">
      <dgm:prSet presAssocID="{5D9B6B2D-8B93-45A8-B342-8DE023548407}" presName="background2" presStyleLbl="node2" presStyleIdx="2" presStyleCnt="4"/>
      <dgm:spPr/>
    </dgm:pt>
    <dgm:pt modelId="{4798EE3B-AD7D-491A-BE66-ED3A4912FFD0}" type="pres">
      <dgm:prSet presAssocID="{5D9B6B2D-8B93-45A8-B342-8DE023548407}" presName="text2" presStyleLbl="fgAcc2" presStyleIdx="2" presStyleCnt="4" custScaleX="126976" custScaleY="71940">
        <dgm:presLayoutVars>
          <dgm:chPref val="3"/>
        </dgm:presLayoutVars>
      </dgm:prSet>
      <dgm:spPr/>
      <dgm:t>
        <a:bodyPr/>
        <a:p>
          <a:endParaRPr lang="zh-CN" altLang="en-US"/>
        </a:p>
      </dgm:t>
    </dgm:pt>
    <dgm:pt modelId="{43629C3C-DCF8-4373-88B2-984073C83024}" type="pres">
      <dgm:prSet presAssocID="{5D9B6B2D-8B93-45A8-B342-8DE023548407}" presName="hierChild3" presStyleCnt="0"/>
      <dgm:spPr/>
    </dgm:pt>
    <dgm:pt modelId="{C36083C5-D787-4B74-AB38-6F2265B00E6B}" type="pres">
      <dgm:prSet presAssocID="{1A81C70C-D419-4F39-8322-D7C28B636CD8}" presName="Name10" presStyleLbl="parChTrans1D2" presStyleIdx="3" presStyleCnt="4"/>
      <dgm:spPr/>
      <dgm:t>
        <a:bodyPr/>
        <a:p>
          <a:endParaRPr lang="zh-CN" altLang="en-US"/>
        </a:p>
      </dgm:t>
    </dgm:pt>
    <dgm:pt modelId="{6E6CB3C4-5CF4-4743-A556-0DC5E5D4183A}" type="pres">
      <dgm:prSet presAssocID="{E4895624-4E73-4624-931F-BDFD87FEAFFB}" presName="hierRoot2" presStyleCnt="0"/>
      <dgm:spPr/>
    </dgm:pt>
    <dgm:pt modelId="{B46B63A6-C3EB-4D35-8506-8A9A0999DCEB}" type="pres">
      <dgm:prSet presAssocID="{E4895624-4E73-4624-931F-BDFD87FEAFFB}" presName="composite2" presStyleCnt="0"/>
      <dgm:spPr/>
    </dgm:pt>
    <dgm:pt modelId="{8FF15A11-E631-4D5D-A64B-B0EFEAB95525}" type="pres">
      <dgm:prSet presAssocID="{E4895624-4E73-4624-931F-BDFD87FEAFFB}" presName="background2" presStyleLbl="node2" presStyleIdx="3" presStyleCnt="4"/>
      <dgm:spPr/>
    </dgm:pt>
    <dgm:pt modelId="{8A1C4F78-3072-4737-95E3-6B2F7F8AF185}" type="pres">
      <dgm:prSet presAssocID="{E4895624-4E73-4624-931F-BDFD87FEAFFB}" presName="text2" presStyleLbl="fgAcc2" presStyleIdx="3" presStyleCnt="4" custScaleX="126149" custScaleY="71940">
        <dgm:presLayoutVars>
          <dgm:chPref val="3"/>
        </dgm:presLayoutVars>
      </dgm:prSet>
      <dgm:spPr/>
      <dgm:t>
        <a:bodyPr/>
        <a:p>
          <a:endParaRPr lang="zh-CN" altLang="en-US"/>
        </a:p>
      </dgm:t>
    </dgm:pt>
    <dgm:pt modelId="{A309F626-2DCB-490F-A798-6129B12901AE}" type="pres">
      <dgm:prSet presAssocID="{E4895624-4E73-4624-931F-BDFD87FEAFFB}" presName="hierChild3" presStyleCnt="0"/>
      <dgm:spPr/>
    </dgm:pt>
  </dgm:ptLst>
  <dgm:cxnLst>
    <dgm:cxn modelId="{0A251B6E-B9FA-438E-9446-30A88AA9048C}" type="presOf" srcId="{D7A43BEB-FA12-4C0B-B759-6A062836903F}" destId="{7261301C-9B4A-414C-8F98-B467C514C0DB}" srcOrd="0" destOrd="0" presId="urn:microsoft.com/office/officeart/2005/8/layout/hierarchy1#9"/>
    <dgm:cxn modelId="{DBF6EA80-EEE5-46F2-BF5F-E2DAFA3E5A66}" srcId="{1BDE227F-5A4C-48E8-9D2C-897B1D91E17E}" destId="{5D9B6B2D-8B93-45A8-B342-8DE023548407}" srcOrd="2" destOrd="0" parTransId="{B6CDC171-7F73-46E6-A3CF-44B089D3B9EA}" sibTransId="{4255651E-CE3D-4320-B1B1-9AC36136B1AF}"/>
    <dgm:cxn modelId="{0AC608B5-FA70-4877-B61D-8684B23A3E2E}" type="presOf" srcId="{A640A637-00B2-4DD5-8596-47785AC3BE8F}" destId="{8F10226D-7E3C-4158-92FE-7514BD98517B}" srcOrd="0" destOrd="0" presId="urn:microsoft.com/office/officeart/2005/8/layout/hierarchy1#9"/>
    <dgm:cxn modelId="{DA0F2172-9FD1-400A-8C1D-DC216020A411}" type="presOf" srcId="{E4895624-4E73-4624-931F-BDFD87FEAFFB}" destId="{8A1C4F78-3072-4737-95E3-6B2F7F8AF185}" srcOrd="0" destOrd="0" presId="urn:microsoft.com/office/officeart/2005/8/layout/hierarchy1#9"/>
    <dgm:cxn modelId="{21E0CA04-0F3F-49FB-B4CF-926DF37049AD}" type="presOf" srcId="{1BDE227F-5A4C-48E8-9D2C-897B1D91E17E}" destId="{6974CC6A-AC88-480F-A4C5-328ACDF32A6F}" srcOrd="0" destOrd="0" presId="urn:microsoft.com/office/officeart/2005/8/layout/hierarchy1#9"/>
    <dgm:cxn modelId="{2B918926-BAFB-4C6E-BDC6-715D0248E2F2}" type="presOf" srcId="{5432E5DD-71DB-4EF5-9DE2-CF79D938C733}" destId="{5D06FEC2-B505-4ECD-9C0F-C0705014FC50}" srcOrd="0" destOrd="0" presId="urn:microsoft.com/office/officeart/2005/8/layout/hierarchy1#9"/>
    <dgm:cxn modelId="{090E736E-B078-42B6-9309-670932F5AE31}" type="presOf" srcId="{5D9B6B2D-8B93-45A8-B342-8DE023548407}" destId="{4798EE3B-AD7D-491A-BE66-ED3A4912FFD0}" srcOrd="0" destOrd="0" presId="urn:microsoft.com/office/officeart/2005/8/layout/hierarchy1#9"/>
    <dgm:cxn modelId="{EBA05263-2B77-4817-AF03-6B5423F2553B}" srcId="{1BDE227F-5A4C-48E8-9D2C-897B1D91E17E}" destId="{E4895624-4E73-4624-931F-BDFD87FEAFFB}" srcOrd="3" destOrd="0" parTransId="{1A81C70C-D419-4F39-8322-D7C28B636CD8}" sibTransId="{3AB4D7F9-4306-47CB-A23B-14D9565D01D9}"/>
    <dgm:cxn modelId="{19FF91E8-2F12-4DB4-B0B3-442A192EFEEF}" srcId="{1BDE227F-5A4C-48E8-9D2C-897B1D91E17E}" destId="{EA4044AE-C928-4710-8F11-6CBDEE346021}" srcOrd="1" destOrd="0" parTransId="{5432E5DD-71DB-4EF5-9DE2-CF79D938C733}" sibTransId="{0A4C6ADD-7088-4893-B79A-DFEAB7845941}"/>
    <dgm:cxn modelId="{C014B401-B1DD-45BB-BA9A-D52F2BA6A728}" type="presOf" srcId="{0DFC7546-9DEA-4AC4-8AF7-5663955A8EC9}" destId="{7B309770-F968-4B0B-BBAB-D297361ABEDB}" srcOrd="0" destOrd="0" presId="urn:microsoft.com/office/officeart/2005/8/layout/hierarchy1#9"/>
    <dgm:cxn modelId="{86D46396-0EA6-4740-B1B6-56AA2B3788E6}" type="presOf" srcId="{B6CDC171-7F73-46E6-A3CF-44B089D3B9EA}" destId="{2E8082BB-F9A0-4CB5-8F92-D0BB31200C0D}" srcOrd="0" destOrd="0" presId="urn:microsoft.com/office/officeart/2005/8/layout/hierarchy1#9"/>
    <dgm:cxn modelId="{50D951DF-A499-4A59-B5EC-38F309BFDA5B}" srcId="{1BDE227F-5A4C-48E8-9D2C-897B1D91E17E}" destId="{A640A637-00B2-4DD5-8596-47785AC3BE8F}" srcOrd="0" destOrd="0" parTransId="{0DFC7546-9DEA-4AC4-8AF7-5663955A8EC9}" sibTransId="{457E2A54-B388-47F1-9B5A-1C2F3E6925CF}"/>
    <dgm:cxn modelId="{F678ECFF-ADD2-49D5-97DE-33A844E9CEEA}" srcId="{D7A43BEB-FA12-4C0B-B759-6A062836903F}" destId="{1BDE227F-5A4C-48E8-9D2C-897B1D91E17E}" srcOrd="0" destOrd="0" parTransId="{6F46EC70-7AD3-4B5A-8717-89F00C57E370}" sibTransId="{574B75D4-2129-4D47-B96E-710FAE841DB3}"/>
    <dgm:cxn modelId="{8C908849-74C8-46A1-9C26-5B9AAE635B70}" type="presOf" srcId="{EA4044AE-C928-4710-8F11-6CBDEE346021}" destId="{96B5487D-F4C6-41DF-8D94-293FA42C6661}" srcOrd="0" destOrd="0" presId="urn:microsoft.com/office/officeart/2005/8/layout/hierarchy1#9"/>
    <dgm:cxn modelId="{EC63BF75-7B53-4988-AAAC-48A1D3E6E74F}" type="presOf" srcId="{1A81C70C-D419-4F39-8322-D7C28B636CD8}" destId="{C36083C5-D787-4B74-AB38-6F2265B00E6B}" srcOrd="0" destOrd="0" presId="urn:microsoft.com/office/officeart/2005/8/layout/hierarchy1#9"/>
    <dgm:cxn modelId="{6D9A337A-995B-4540-8C86-9F8299DEC5B9}" type="presParOf" srcId="{7261301C-9B4A-414C-8F98-B467C514C0DB}" destId="{E3F6ACFA-1EDD-4321-A7E3-EBBD85A13113}" srcOrd="0" destOrd="0" presId="urn:microsoft.com/office/officeart/2005/8/layout/hierarchy1#9"/>
    <dgm:cxn modelId="{772FDB83-8C2F-47E9-A05A-48E89C4A17E0}" type="presParOf" srcId="{E3F6ACFA-1EDD-4321-A7E3-EBBD85A13113}" destId="{C73FF140-72AB-4D28-A478-C6F7E85D8B47}" srcOrd="0" destOrd="0" presId="urn:microsoft.com/office/officeart/2005/8/layout/hierarchy1#9"/>
    <dgm:cxn modelId="{95C5467D-0358-4C90-9114-825EAB659C92}" type="presParOf" srcId="{C73FF140-72AB-4D28-A478-C6F7E85D8B47}" destId="{886B2A62-2115-42B6-9F98-D5FD9D2B1D14}" srcOrd="0" destOrd="0" presId="urn:microsoft.com/office/officeart/2005/8/layout/hierarchy1#9"/>
    <dgm:cxn modelId="{79FECC67-D9DC-4946-91D9-C8525DDAD80D}" type="presParOf" srcId="{C73FF140-72AB-4D28-A478-C6F7E85D8B47}" destId="{6974CC6A-AC88-480F-A4C5-328ACDF32A6F}" srcOrd="1" destOrd="0" presId="urn:microsoft.com/office/officeart/2005/8/layout/hierarchy1#9"/>
    <dgm:cxn modelId="{C9025C0E-AA20-4AD2-BA52-A6E85461FB50}" type="presParOf" srcId="{E3F6ACFA-1EDD-4321-A7E3-EBBD85A13113}" destId="{F62AF569-4562-4E32-9BDB-9DC646BEDF73}" srcOrd="1" destOrd="0" presId="urn:microsoft.com/office/officeart/2005/8/layout/hierarchy1#9"/>
    <dgm:cxn modelId="{5B6893C6-F094-42C8-81F2-7D3C869AFB6F}" type="presParOf" srcId="{F62AF569-4562-4E32-9BDB-9DC646BEDF73}" destId="{7B309770-F968-4B0B-BBAB-D297361ABEDB}" srcOrd="0" destOrd="0" presId="urn:microsoft.com/office/officeart/2005/8/layout/hierarchy1#9"/>
    <dgm:cxn modelId="{BA2F4547-DFF3-4047-8B61-315A35223D32}" type="presParOf" srcId="{F62AF569-4562-4E32-9BDB-9DC646BEDF73}" destId="{87EB5F72-3614-43C7-B832-34B2005DC3B4}" srcOrd="1" destOrd="0" presId="urn:microsoft.com/office/officeart/2005/8/layout/hierarchy1#9"/>
    <dgm:cxn modelId="{F05FD4A4-1501-4439-9D5D-52C3041F036C}" type="presParOf" srcId="{87EB5F72-3614-43C7-B832-34B2005DC3B4}" destId="{17C704FF-D944-4ADF-A54A-E45E28FCAF34}" srcOrd="0" destOrd="0" presId="urn:microsoft.com/office/officeart/2005/8/layout/hierarchy1#9"/>
    <dgm:cxn modelId="{493DFEE3-0BBE-4EDF-8227-40C133A10C8A}" type="presParOf" srcId="{17C704FF-D944-4ADF-A54A-E45E28FCAF34}" destId="{6AE71D67-12EA-44FE-8C0B-C92F33DC7343}" srcOrd="0" destOrd="0" presId="urn:microsoft.com/office/officeart/2005/8/layout/hierarchy1#9"/>
    <dgm:cxn modelId="{834274AC-F8EE-448D-81F1-E61C4C088122}" type="presParOf" srcId="{17C704FF-D944-4ADF-A54A-E45E28FCAF34}" destId="{8F10226D-7E3C-4158-92FE-7514BD98517B}" srcOrd="1" destOrd="0" presId="urn:microsoft.com/office/officeart/2005/8/layout/hierarchy1#9"/>
    <dgm:cxn modelId="{5C580622-89C6-4914-B2E9-DBC04BEDEFE1}" type="presParOf" srcId="{87EB5F72-3614-43C7-B832-34B2005DC3B4}" destId="{65FA7CBF-E86A-4146-BAE1-EBAF09C00BA5}" srcOrd="1" destOrd="0" presId="urn:microsoft.com/office/officeart/2005/8/layout/hierarchy1#9"/>
    <dgm:cxn modelId="{FBD1F4E1-8DAC-4B93-B12A-A179BA496BAC}" type="presParOf" srcId="{F62AF569-4562-4E32-9BDB-9DC646BEDF73}" destId="{5D06FEC2-B505-4ECD-9C0F-C0705014FC50}" srcOrd="2" destOrd="0" presId="urn:microsoft.com/office/officeart/2005/8/layout/hierarchy1#9"/>
    <dgm:cxn modelId="{1099130D-A3AA-4559-9BCB-398126AB170E}" type="presParOf" srcId="{F62AF569-4562-4E32-9BDB-9DC646BEDF73}" destId="{D9DB03C0-0485-438A-8977-2C94C8A65D3C}" srcOrd="3" destOrd="0" presId="urn:microsoft.com/office/officeart/2005/8/layout/hierarchy1#9"/>
    <dgm:cxn modelId="{CEB3C209-1488-4C19-8670-0D6508F52342}" type="presParOf" srcId="{D9DB03C0-0485-438A-8977-2C94C8A65D3C}" destId="{A0F776B2-D3CF-4628-8C15-722A470D7AA8}" srcOrd="0" destOrd="0" presId="urn:microsoft.com/office/officeart/2005/8/layout/hierarchy1#9"/>
    <dgm:cxn modelId="{58FA950E-13AA-439F-B858-26E12F026547}" type="presParOf" srcId="{A0F776B2-D3CF-4628-8C15-722A470D7AA8}" destId="{A33BDEE4-F6A4-4EBB-8EF1-590C8BE92E38}" srcOrd="0" destOrd="0" presId="urn:microsoft.com/office/officeart/2005/8/layout/hierarchy1#9"/>
    <dgm:cxn modelId="{EB677CA8-EE82-430D-9609-44008981F0F6}" type="presParOf" srcId="{A0F776B2-D3CF-4628-8C15-722A470D7AA8}" destId="{96B5487D-F4C6-41DF-8D94-293FA42C6661}" srcOrd="1" destOrd="0" presId="urn:microsoft.com/office/officeart/2005/8/layout/hierarchy1#9"/>
    <dgm:cxn modelId="{45DF926B-C03C-435E-B96C-9F380FD45C4D}" type="presParOf" srcId="{D9DB03C0-0485-438A-8977-2C94C8A65D3C}" destId="{DFC56957-853A-4911-B76E-EB0946122DD9}" srcOrd="1" destOrd="0" presId="urn:microsoft.com/office/officeart/2005/8/layout/hierarchy1#9"/>
    <dgm:cxn modelId="{20A976A1-9AE8-418A-9706-1EB7D5EF3D29}" type="presParOf" srcId="{F62AF569-4562-4E32-9BDB-9DC646BEDF73}" destId="{2E8082BB-F9A0-4CB5-8F92-D0BB31200C0D}" srcOrd="4" destOrd="0" presId="urn:microsoft.com/office/officeart/2005/8/layout/hierarchy1#9"/>
    <dgm:cxn modelId="{71B01123-ED07-436F-9452-7D3E6D6BE16C}" type="presParOf" srcId="{F62AF569-4562-4E32-9BDB-9DC646BEDF73}" destId="{C6EBE90E-6EBB-4E14-B1A3-D3E2F120B107}" srcOrd="5" destOrd="0" presId="urn:microsoft.com/office/officeart/2005/8/layout/hierarchy1#9"/>
    <dgm:cxn modelId="{6AE33421-764A-4F10-A819-0A3D112CA787}" type="presParOf" srcId="{C6EBE90E-6EBB-4E14-B1A3-D3E2F120B107}" destId="{C5AB6216-E7A4-4FDF-898B-C5324F9643A2}" srcOrd="0" destOrd="0" presId="urn:microsoft.com/office/officeart/2005/8/layout/hierarchy1#9"/>
    <dgm:cxn modelId="{EA176B58-80D5-454F-B16F-3B62786486AE}" type="presParOf" srcId="{C5AB6216-E7A4-4FDF-898B-C5324F9643A2}" destId="{E4B85580-6F28-4A58-8704-60C90A1AA6FB}" srcOrd="0" destOrd="0" presId="urn:microsoft.com/office/officeart/2005/8/layout/hierarchy1#9"/>
    <dgm:cxn modelId="{F0C899C8-8EF5-4BD9-A391-CEA16A470FF2}" type="presParOf" srcId="{C5AB6216-E7A4-4FDF-898B-C5324F9643A2}" destId="{4798EE3B-AD7D-491A-BE66-ED3A4912FFD0}" srcOrd="1" destOrd="0" presId="urn:microsoft.com/office/officeart/2005/8/layout/hierarchy1#9"/>
    <dgm:cxn modelId="{462DAD2A-9857-4787-A56E-07E190D2E4C3}" type="presParOf" srcId="{C6EBE90E-6EBB-4E14-B1A3-D3E2F120B107}" destId="{43629C3C-DCF8-4373-88B2-984073C83024}" srcOrd="1" destOrd="0" presId="urn:microsoft.com/office/officeart/2005/8/layout/hierarchy1#9"/>
    <dgm:cxn modelId="{1FC27AA2-7C1B-416D-A820-C2EBBCD57B08}" type="presParOf" srcId="{F62AF569-4562-4E32-9BDB-9DC646BEDF73}" destId="{C36083C5-D787-4B74-AB38-6F2265B00E6B}" srcOrd="6" destOrd="0" presId="urn:microsoft.com/office/officeart/2005/8/layout/hierarchy1#9"/>
    <dgm:cxn modelId="{44C864F5-767C-458B-843B-8773187BB137}" type="presParOf" srcId="{F62AF569-4562-4E32-9BDB-9DC646BEDF73}" destId="{6E6CB3C4-5CF4-4743-A556-0DC5E5D4183A}" srcOrd="7" destOrd="0" presId="urn:microsoft.com/office/officeart/2005/8/layout/hierarchy1#9"/>
    <dgm:cxn modelId="{5CBC4A1C-1D5C-42AF-ADAC-DA835B3782FA}" type="presParOf" srcId="{6E6CB3C4-5CF4-4743-A556-0DC5E5D4183A}" destId="{B46B63A6-C3EB-4D35-8506-8A9A0999DCEB}" srcOrd="0" destOrd="0" presId="urn:microsoft.com/office/officeart/2005/8/layout/hierarchy1#9"/>
    <dgm:cxn modelId="{3633B612-49E7-4266-9A8C-A9CBD8F3F997}" type="presParOf" srcId="{B46B63A6-C3EB-4D35-8506-8A9A0999DCEB}" destId="{8FF15A11-E631-4D5D-A64B-B0EFEAB95525}" srcOrd="0" destOrd="0" presId="urn:microsoft.com/office/officeart/2005/8/layout/hierarchy1#9"/>
    <dgm:cxn modelId="{B84E9667-8A63-49D5-B9DA-CC96510C64DD}" type="presParOf" srcId="{B46B63A6-C3EB-4D35-8506-8A9A0999DCEB}" destId="{8A1C4F78-3072-4737-95E3-6B2F7F8AF185}" srcOrd="1" destOrd="0" presId="urn:microsoft.com/office/officeart/2005/8/layout/hierarchy1#9"/>
    <dgm:cxn modelId="{047F397D-819E-4E64-839A-750087B50D0F}" type="presParOf" srcId="{6E6CB3C4-5CF4-4743-A556-0DC5E5D4183A}" destId="{A309F626-2DCB-490F-A798-6129B12901AE}" srcOrd="1" destOrd="0" presId="urn:microsoft.com/office/officeart/2005/8/layout/hierarchy1#9"/>
  </dgm:cxnLst>
  <dgm:bg/>
  <dgm:whole/>
</dgm:dataModel>
</file>

<file path=word/diagrams/data7.xml><?xml version="1.0" encoding="utf-8"?>
<dgm:dataModel xmlns:dgm="http://schemas.openxmlformats.org/drawingml/2006/diagram" xmlns:a="http://schemas.openxmlformats.org/drawingml/2006/main">
  <dgm:ptLst>
    <dgm:pt modelId="{EB11DF50-50C3-4F24-ABAF-7B494C2B248B}" type="doc">
      <dgm:prSet loTypeId="urn:microsoft.com/office/officeart/2005/8/layout/hierarchy1#4" loCatId="hierarchy" qsTypeId="urn:microsoft.com/office/officeart/2005/8/quickstyle/simple1#4" qsCatId="simple" csTypeId="urn:microsoft.com/office/officeart/2005/8/colors/accent1_2#4" csCatId="accent1" phldr="1"/>
      <dgm:spPr/>
      <dgm:t>
        <a:bodyPr/>
        <a:p>
          <a:endParaRPr lang="zh-CN" altLang="en-US"/>
        </a:p>
      </dgm:t>
    </dgm:pt>
    <dgm:pt modelId="{18EDD49C-F637-42CD-8B08-2D432B90D583}">
      <dgm:prSet phldrT="[文本]" custT="1"/>
      <dgm:spPr/>
      <dgm:t>
        <a:bodyPr/>
        <a:p>
          <a:r>
            <a:rPr lang="en-US" altLang="zh-CN" sz="1200">
              <a:latin typeface="仿宋" panose="02010609060101010101" pitchFamily="3" charset="-122"/>
              <a:ea typeface="仿宋" panose="02010609060101010101" pitchFamily="3" charset="-122"/>
            </a:rPr>
            <a:t>A3</a:t>
          </a:r>
          <a:r>
            <a:rPr lang="zh-CN" altLang="en-US" sz="1200">
              <a:latin typeface="仿宋" panose="02010609060101010101" pitchFamily="3" charset="-122"/>
              <a:ea typeface="仿宋" panose="02010609060101010101" pitchFamily="3" charset="-122"/>
            </a:rPr>
            <a:t>项目绩效</a:t>
          </a:r>
        </a:p>
      </dgm:t>
    </dgm:pt>
    <dgm:pt modelId="{B77B073F-6A6B-4315-A3D5-301E4578FE45}" cxnId="{01C1D9B8-3AE2-4D5C-884F-8CC4E6B8F494}" type="parTrans">
      <dgm:prSet/>
      <dgm:spPr/>
      <dgm:t>
        <a:bodyPr/>
        <a:p>
          <a:endParaRPr lang="zh-CN" altLang="en-US"/>
        </a:p>
      </dgm:t>
    </dgm:pt>
    <dgm:pt modelId="{6FC6E814-6788-4DD9-B2E4-6D9FD8D468E3}" cxnId="{01C1D9B8-3AE2-4D5C-884F-8CC4E6B8F494}" type="sibTrans">
      <dgm:prSet/>
      <dgm:spPr/>
      <dgm:t>
        <a:bodyPr/>
        <a:p>
          <a:endParaRPr lang="zh-CN" altLang="en-US"/>
        </a:p>
      </dgm:t>
    </dgm:pt>
    <dgm:pt modelId="{E6F4BD9F-06EB-4A1A-AA97-CBA2C0749A92}">
      <dgm:prSet phldrT="[文本]" custT="1"/>
      <dgm:spPr/>
      <dgm:t>
        <a:bodyPr/>
        <a:p>
          <a:r>
            <a:rPr lang="en-US" altLang="zh-CN"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36215298-917C-4F44-9DF0-64BFF04E1CE0}" cxnId="{0F68BE21-5458-4FDE-B07E-A0D4F3E42A19}" type="parTrans">
      <dgm:prSet/>
      <dgm:spPr/>
      <dgm:t>
        <a:bodyPr/>
        <a:p>
          <a:endParaRPr lang="zh-CN" altLang="en-US"/>
        </a:p>
      </dgm:t>
    </dgm:pt>
    <dgm:pt modelId="{EAAC560E-D9D4-463A-B456-831F66327278}" cxnId="{0F68BE21-5458-4FDE-B07E-A0D4F3E42A19}" type="sibTrans">
      <dgm:prSet/>
      <dgm:spPr/>
      <dgm:t>
        <a:bodyPr/>
        <a:p>
          <a:endParaRPr lang="zh-CN" altLang="en-US"/>
        </a:p>
      </dgm:t>
    </dgm:pt>
    <dgm:pt modelId="{6D54F8A3-8AE6-4560-B667-931ADFBCF4D6}">
      <dgm:prSet phldrT="[文本]" custT="1"/>
      <dgm:spPr/>
      <dgm:t>
        <a:bodyPr/>
        <a:p>
          <a:r>
            <a:rPr lang="en-US" altLang="zh-CN"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491901F-6FE1-460F-A106-2FB73E9A4322}" cxnId="{A62D1F15-B881-47ED-BFA2-CC432228F8D7}" type="parTrans">
      <dgm:prSet/>
      <dgm:spPr/>
      <dgm:t>
        <a:bodyPr/>
        <a:p>
          <a:endParaRPr lang="zh-CN" altLang="en-US"/>
        </a:p>
      </dgm:t>
    </dgm:pt>
    <dgm:pt modelId="{069380E5-4B53-4E53-AE75-D3B8B7AC6A4B}" cxnId="{A62D1F15-B881-47ED-BFA2-CC432228F8D7}" type="sibTrans">
      <dgm:prSet/>
      <dgm:spPr/>
      <dgm:t>
        <a:bodyPr/>
        <a:p>
          <a:endParaRPr lang="zh-CN" altLang="en-US"/>
        </a:p>
      </dgm:t>
    </dgm:pt>
    <dgm:pt modelId="{03FFBCE5-7CA9-4E76-886E-DE491319C193}" type="pres">
      <dgm:prSet presAssocID="{EB11DF50-50C3-4F24-ABAF-7B494C2B248B}" presName="hierChild1" presStyleCnt="0">
        <dgm:presLayoutVars>
          <dgm:chPref val="1"/>
          <dgm:dir/>
          <dgm:animOne val="branch"/>
          <dgm:animLvl val="lvl"/>
          <dgm:resizeHandles/>
        </dgm:presLayoutVars>
      </dgm:prSet>
      <dgm:spPr/>
      <dgm:t>
        <a:bodyPr/>
        <a:p>
          <a:endParaRPr lang="zh-CN" altLang="en-US"/>
        </a:p>
      </dgm:t>
    </dgm:pt>
    <dgm:pt modelId="{CD3B316E-4C73-495F-B267-5FD670EC36B5}" type="pres">
      <dgm:prSet presAssocID="{18EDD49C-F637-42CD-8B08-2D432B90D583}" presName="hierRoot1" presStyleCnt="0"/>
      <dgm:spPr/>
    </dgm:pt>
    <dgm:pt modelId="{8BBEFE31-4117-4DD3-B656-B7EEF5A824FD}" type="pres">
      <dgm:prSet presAssocID="{18EDD49C-F637-42CD-8B08-2D432B90D583}" presName="composite" presStyleCnt="0"/>
      <dgm:spPr/>
    </dgm:pt>
    <dgm:pt modelId="{7DA51C53-D29A-404E-BC26-EEA144FB99FD}" type="pres">
      <dgm:prSet presAssocID="{18EDD49C-F637-42CD-8B08-2D432B90D583}" presName="background" presStyleLbl="node0" presStyleIdx="0" presStyleCnt="1"/>
      <dgm:spPr/>
    </dgm:pt>
    <dgm:pt modelId="{478B2354-815F-433F-8DFB-140F0566AE1D}" type="pres">
      <dgm:prSet presAssocID="{18EDD49C-F637-42CD-8B08-2D432B90D583}" presName="text" presStyleLbl="fgAcc0" presStyleIdx="0" presStyleCnt="1" custScaleX="109323" custScaleY="44119">
        <dgm:presLayoutVars>
          <dgm:chPref val="3"/>
        </dgm:presLayoutVars>
      </dgm:prSet>
      <dgm:spPr/>
      <dgm:t>
        <a:bodyPr/>
        <a:p>
          <a:endParaRPr lang="zh-CN" altLang="en-US"/>
        </a:p>
      </dgm:t>
    </dgm:pt>
    <dgm:pt modelId="{E89067C2-C54A-4199-B49A-1727AD81FC23}" type="pres">
      <dgm:prSet presAssocID="{18EDD49C-F637-42CD-8B08-2D432B90D583}" presName="hierChild2" presStyleCnt="0"/>
      <dgm:spPr/>
    </dgm:pt>
    <dgm:pt modelId="{7EC3623B-B1E4-4880-A5F5-EF1C18B6E6F7}" type="pres">
      <dgm:prSet presAssocID="{36215298-917C-4F44-9DF0-64BFF04E1CE0}" presName="Name10" presStyleLbl="parChTrans1D2" presStyleIdx="0" presStyleCnt="2"/>
      <dgm:spPr/>
      <dgm:t>
        <a:bodyPr/>
        <a:p>
          <a:endParaRPr lang="zh-CN" altLang="en-US"/>
        </a:p>
      </dgm:t>
    </dgm:pt>
    <dgm:pt modelId="{8C880C34-4BFD-451E-AE15-C6AC8506A99B}" type="pres">
      <dgm:prSet presAssocID="{E6F4BD9F-06EB-4A1A-AA97-CBA2C0749A92}" presName="hierRoot2" presStyleCnt="0"/>
      <dgm:spPr/>
    </dgm:pt>
    <dgm:pt modelId="{FB996A92-FADD-4559-ABB8-DB797755E61F}" type="pres">
      <dgm:prSet presAssocID="{E6F4BD9F-06EB-4A1A-AA97-CBA2C0749A92}" presName="composite2" presStyleCnt="0"/>
      <dgm:spPr/>
    </dgm:pt>
    <dgm:pt modelId="{FBC617C2-2231-4060-81B5-6EE15416E478}" type="pres">
      <dgm:prSet presAssocID="{E6F4BD9F-06EB-4A1A-AA97-CBA2C0749A92}" presName="background2" presStyleLbl="node2" presStyleIdx="0" presStyleCnt="2"/>
      <dgm:spPr/>
    </dgm:pt>
    <dgm:pt modelId="{EA8BACE5-8DE0-4861-B694-8AAB4A73B58D}" type="pres">
      <dgm:prSet presAssocID="{E6F4BD9F-06EB-4A1A-AA97-CBA2C0749A92}" presName="text2" presStyleLbl="fgAcc2" presStyleIdx="0" presStyleCnt="2" custScaleX="97732" custScaleY="35418">
        <dgm:presLayoutVars>
          <dgm:chPref val="3"/>
        </dgm:presLayoutVars>
      </dgm:prSet>
      <dgm:spPr/>
      <dgm:t>
        <a:bodyPr/>
        <a:p>
          <a:endParaRPr lang="zh-CN" altLang="en-US"/>
        </a:p>
      </dgm:t>
    </dgm:pt>
    <dgm:pt modelId="{84834E38-EF92-4C54-8734-911E946FF946}" type="pres">
      <dgm:prSet presAssocID="{E6F4BD9F-06EB-4A1A-AA97-CBA2C0749A92}" presName="hierChild3" presStyleCnt="0"/>
      <dgm:spPr/>
    </dgm:pt>
    <dgm:pt modelId="{298B0215-C1A0-4A93-A84E-CF7B7CC961E7}" type="pres">
      <dgm:prSet presAssocID="{6491901F-6FE1-460F-A106-2FB73E9A4322}" presName="Name10" presStyleLbl="parChTrans1D2" presStyleIdx="1" presStyleCnt="2"/>
      <dgm:spPr/>
      <dgm:t>
        <a:bodyPr/>
        <a:p>
          <a:endParaRPr lang="zh-CN" altLang="en-US"/>
        </a:p>
      </dgm:t>
    </dgm:pt>
    <dgm:pt modelId="{98B20CD1-4C9C-4BFE-A7B0-3315672CB731}" type="pres">
      <dgm:prSet presAssocID="{6D54F8A3-8AE6-4560-B667-931ADFBCF4D6}" presName="hierRoot2" presStyleCnt="0"/>
      <dgm:spPr/>
    </dgm:pt>
    <dgm:pt modelId="{830C22AA-BB28-439B-8220-B6740F73C21E}" type="pres">
      <dgm:prSet presAssocID="{6D54F8A3-8AE6-4560-B667-931ADFBCF4D6}" presName="composite2" presStyleCnt="0"/>
      <dgm:spPr/>
    </dgm:pt>
    <dgm:pt modelId="{1A5C6370-5F1A-48DD-AF33-C95397EFEE5E}" type="pres">
      <dgm:prSet presAssocID="{6D54F8A3-8AE6-4560-B667-931ADFBCF4D6}" presName="background2" presStyleLbl="node2" presStyleIdx="1" presStyleCnt="2"/>
      <dgm:spPr/>
    </dgm:pt>
    <dgm:pt modelId="{2167BC05-22F9-43CC-BC3D-17ECE145063A}" type="pres">
      <dgm:prSet presAssocID="{6D54F8A3-8AE6-4560-B667-931ADFBCF4D6}" presName="text2" presStyleLbl="fgAcc2" presStyleIdx="1" presStyleCnt="2" custScaleX="94718" custScaleY="36323">
        <dgm:presLayoutVars>
          <dgm:chPref val="3"/>
        </dgm:presLayoutVars>
      </dgm:prSet>
      <dgm:spPr/>
      <dgm:t>
        <a:bodyPr/>
        <a:p>
          <a:endParaRPr lang="zh-CN" altLang="en-US"/>
        </a:p>
      </dgm:t>
    </dgm:pt>
    <dgm:pt modelId="{08426BDA-5B8B-424B-B00A-6A5FED516BD9}" type="pres">
      <dgm:prSet presAssocID="{6D54F8A3-8AE6-4560-B667-931ADFBCF4D6}" presName="hierChild3" presStyleCnt="0"/>
      <dgm:spPr/>
    </dgm:pt>
  </dgm:ptLst>
  <dgm:cxnLst>
    <dgm:cxn modelId="{D914A488-A0DA-4316-A44F-B04CDEFD4C32}" type="presOf" srcId="{36215298-917C-4F44-9DF0-64BFF04E1CE0}" destId="{7EC3623B-B1E4-4880-A5F5-EF1C18B6E6F7}" srcOrd="0" destOrd="0" presId="urn:microsoft.com/office/officeart/2005/8/layout/hierarchy1#4"/>
    <dgm:cxn modelId="{A8105801-AA44-43F9-8A15-D7E0DA74D985}" type="presOf" srcId="{18EDD49C-F637-42CD-8B08-2D432B90D583}" destId="{478B2354-815F-433F-8DFB-140F0566AE1D}" srcOrd="0" destOrd="0" presId="urn:microsoft.com/office/officeart/2005/8/layout/hierarchy1#4"/>
    <dgm:cxn modelId="{A62D1F15-B881-47ED-BFA2-CC432228F8D7}" srcId="{18EDD49C-F637-42CD-8B08-2D432B90D583}" destId="{6D54F8A3-8AE6-4560-B667-931ADFBCF4D6}" srcOrd="1" destOrd="0" parTransId="{6491901F-6FE1-460F-A106-2FB73E9A4322}" sibTransId="{069380E5-4B53-4E53-AE75-D3B8B7AC6A4B}"/>
    <dgm:cxn modelId="{B3848A7F-EFB0-46AC-B914-E27F8CF52DFC}" type="presOf" srcId="{E6F4BD9F-06EB-4A1A-AA97-CBA2C0749A92}" destId="{EA8BACE5-8DE0-4861-B694-8AAB4A73B58D}" srcOrd="0" destOrd="0" presId="urn:microsoft.com/office/officeart/2005/8/layout/hierarchy1#4"/>
    <dgm:cxn modelId="{A9F0AB75-6296-4828-9595-27413F905FC4}" type="presOf" srcId="{EB11DF50-50C3-4F24-ABAF-7B494C2B248B}" destId="{03FFBCE5-7CA9-4E76-886E-DE491319C193}" srcOrd="0" destOrd="0" presId="urn:microsoft.com/office/officeart/2005/8/layout/hierarchy1#4"/>
    <dgm:cxn modelId="{6284E288-7AB4-4453-A42F-80631111E377}" type="presOf" srcId="{6D54F8A3-8AE6-4560-B667-931ADFBCF4D6}" destId="{2167BC05-22F9-43CC-BC3D-17ECE145063A}" srcOrd="0" destOrd="0" presId="urn:microsoft.com/office/officeart/2005/8/layout/hierarchy1#4"/>
    <dgm:cxn modelId="{0F68BE21-5458-4FDE-B07E-A0D4F3E42A19}" srcId="{18EDD49C-F637-42CD-8B08-2D432B90D583}" destId="{E6F4BD9F-06EB-4A1A-AA97-CBA2C0749A92}" srcOrd="0" destOrd="0" parTransId="{36215298-917C-4F44-9DF0-64BFF04E1CE0}" sibTransId="{EAAC560E-D9D4-463A-B456-831F66327278}"/>
    <dgm:cxn modelId="{BA3BE71E-7262-42D4-B219-FC7EE3F25BB9}" type="presOf" srcId="{6491901F-6FE1-460F-A106-2FB73E9A4322}" destId="{298B0215-C1A0-4A93-A84E-CF7B7CC961E7}" srcOrd="0" destOrd="0" presId="urn:microsoft.com/office/officeart/2005/8/layout/hierarchy1#4"/>
    <dgm:cxn modelId="{01C1D9B8-3AE2-4D5C-884F-8CC4E6B8F494}" srcId="{EB11DF50-50C3-4F24-ABAF-7B494C2B248B}" destId="{18EDD49C-F637-42CD-8B08-2D432B90D583}" srcOrd="0" destOrd="0" parTransId="{B77B073F-6A6B-4315-A3D5-301E4578FE45}" sibTransId="{6FC6E814-6788-4DD9-B2E4-6D9FD8D468E3}"/>
    <dgm:cxn modelId="{FE1F784A-FF00-4B8E-BE19-0EEF12A34DFE}" type="presParOf" srcId="{03FFBCE5-7CA9-4E76-886E-DE491319C193}" destId="{CD3B316E-4C73-495F-B267-5FD670EC36B5}" srcOrd="0" destOrd="0" presId="urn:microsoft.com/office/officeart/2005/8/layout/hierarchy1#4"/>
    <dgm:cxn modelId="{9FFA6786-BC0D-4FFF-A7C6-DC36E2378C0B}" type="presParOf" srcId="{CD3B316E-4C73-495F-B267-5FD670EC36B5}" destId="{8BBEFE31-4117-4DD3-B656-B7EEF5A824FD}" srcOrd="0" destOrd="0" presId="urn:microsoft.com/office/officeart/2005/8/layout/hierarchy1#4"/>
    <dgm:cxn modelId="{857B61DB-AA36-4C4E-A32F-6EF1F9B28693}" type="presParOf" srcId="{8BBEFE31-4117-4DD3-B656-B7EEF5A824FD}" destId="{7DA51C53-D29A-404E-BC26-EEA144FB99FD}" srcOrd="0" destOrd="0" presId="urn:microsoft.com/office/officeart/2005/8/layout/hierarchy1#4"/>
    <dgm:cxn modelId="{90EF7C5E-CE42-47BA-A70F-4764086C42A9}" type="presParOf" srcId="{8BBEFE31-4117-4DD3-B656-B7EEF5A824FD}" destId="{478B2354-815F-433F-8DFB-140F0566AE1D}" srcOrd="1" destOrd="0" presId="urn:microsoft.com/office/officeart/2005/8/layout/hierarchy1#4"/>
    <dgm:cxn modelId="{AC5D90C6-A23D-4340-B248-C9D1CC890A17}" type="presParOf" srcId="{CD3B316E-4C73-495F-B267-5FD670EC36B5}" destId="{E89067C2-C54A-4199-B49A-1727AD81FC23}" srcOrd="1" destOrd="0" presId="urn:microsoft.com/office/officeart/2005/8/layout/hierarchy1#4"/>
    <dgm:cxn modelId="{7A6D6125-7F65-497A-A6C8-6E2A3B7750A2}" type="presParOf" srcId="{E89067C2-C54A-4199-B49A-1727AD81FC23}" destId="{7EC3623B-B1E4-4880-A5F5-EF1C18B6E6F7}" srcOrd="0" destOrd="0" presId="urn:microsoft.com/office/officeart/2005/8/layout/hierarchy1#4"/>
    <dgm:cxn modelId="{4F501800-7F69-4B67-9928-AADD845B0FB2}" type="presParOf" srcId="{E89067C2-C54A-4199-B49A-1727AD81FC23}" destId="{8C880C34-4BFD-451E-AE15-C6AC8506A99B}" srcOrd="1" destOrd="0" presId="urn:microsoft.com/office/officeart/2005/8/layout/hierarchy1#4"/>
    <dgm:cxn modelId="{6894B323-9CC1-4383-A47B-0BEF8788349E}" type="presParOf" srcId="{8C880C34-4BFD-451E-AE15-C6AC8506A99B}" destId="{FB996A92-FADD-4559-ABB8-DB797755E61F}" srcOrd="0" destOrd="0" presId="urn:microsoft.com/office/officeart/2005/8/layout/hierarchy1#4"/>
    <dgm:cxn modelId="{D6FBD48A-CDD5-4040-A5AF-E22B02D3A1F9}" type="presParOf" srcId="{FB996A92-FADD-4559-ABB8-DB797755E61F}" destId="{FBC617C2-2231-4060-81B5-6EE15416E478}" srcOrd="0" destOrd="0" presId="urn:microsoft.com/office/officeart/2005/8/layout/hierarchy1#4"/>
    <dgm:cxn modelId="{688414EB-9F17-455F-B860-D21B66E87917}" type="presParOf" srcId="{FB996A92-FADD-4559-ABB8-DB797755E61F}" destId="{EA8BACE5-8DE0-4861-B694-8AAB4A73B58D}" srcOrd="1" destOrd="0" presId="urn:microsoft.com/office/officeart/2005/8/layout/hierarchy1#4"/>
    <dgm:cxn modelId="{DDC784AD-3B6F-4B98-8A6B-69E9BF130421}" type="presParOf" srcId="{8C880C34-4BFD-451E-AE15-C6AC8506A99B}" destId="{84834E38-EF92-4C54-8734-911E946FF946}" srcOrd="1" destOrd="0" presId="urn:microsoft.com/office/officeart/2005/8/layout/hierarchy1#4"/>
    <dgm:cxn modelId="{1E80BB74-23E2-49CA-A14C-EB314521E381}" type="presParOf" srcId="{E89067C2-C54A-4199-B49A-1727AD81FC23}" destId="{298B0215-C1A0-4A93-A84E-CF7B7CC961E7}" srcOrd="2" destOrd="0" presId="urn:microsoft.com/office/officeart/2005/8/layout/hierarchy1#4"/>
    <dgm:cxn modelId="{E8BF8D42-5C43-42A2-B32B-D824BE1F663C}" type="presParOf" srcId="{E89067C2-C54A-4199-B49A-1727AD81FC23}" destId="{98B20CD1-4C9C-4BFE-A7B0-3315672CB731}" srcOrd="3" destOrd="0" presId="urn:microsoft.com/office/officeart/2005/8/layout/hierarchy1#4"/>
    <dgm:cxn modelId="{26C01600-DC76-4122-B698-7F24DDD7E27E}" type="presParOf" srcId="{98B20CD1-4C9C-4BFE-A7B0-3315672CB731}" destId="{830C22AA-BB28-439B-8220-B6740F73C21E}" srcOrd="0" destOrd="0" presId="urn:microsoft.com/office/officeart/2005/8/layout/hierarchy1#4"/>
    <dgm:cxn modelId="{954FC3ED-2429-451F-AA18-C6723C610FD9}" type="presParOf" srcId="{830C22AA-BB28-439B-8220-B6740F73C21E}" destId="{1A5C6370-5F1A-48DD-AF33-C95397EFEE5E}" srcOrd="0" destOrd="0" presId="urn:microsoft.com/office/officeart/2005/8/layout/hierarchy1#4"/>
    <dgm:cxn modelId="{F2B966F6-201D-4421-8C1B-F73C51B7DE23}" type="presParOf" srcId="{830C22AA-BB28-439B-8220-B6740F73C21E}" destId="{2167BC05-22F9-43CC-BC3D-17ECE145063A}" srcOrd="1" destOrd="0" presId="urn:microsoft.com/office/officeart/2005/8/layout/hierarchy1#4"/>
    <dgm:cxn modelId="{EDA893F8-132B-4FE3-8939-2E226F51C2AB}" type="presParOf" srcId="{98B20CD1-4C9C-4BFE-A7B0-3315672CB731}" destId="{08426BDA-5B8B-424B-B00A-6A5FED516BD9}" srcOrd="1" destOrd="0" presId="urn:microsoft.com/office/officeart/2005/8/layout/hierarchy1#4"/>
  </dgm:cxnLst>
  <dgm:bg/>
  <dgm:whole/>
</dgm:dataModel>
</file>

<file path=word/diagrams/data8.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p>
          <a:endParaRPr lang="zh-CN" altLang="en-US"/>
        </a:p>
      </dgm:t>
    </dgm:pt>
    <dgm:pt modelId="{1BDE227F-5A4C-48E8-9D2C-897B1D91E17E}">
      <dgm:prSet phldrT="[文本]" custT="1"/>
      <dgm:spPr/>
      <dgm:t>
        <a:bodyPr/>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C311</a:t>
          </a:r>
          <a:r>
            <a:rPr lang="zh-CN" altLang="en-US" sz="1200">
              <a:latin typeface="仿宋" panose="02010609060101010101" pitchFamily="3" charset="-122"/>
              <a:ea typeface="仿宋" panose="02010609060101010101" pitchFamily="3" charset="-122"/>
            </a:rPr>
            <a:t>产出数量</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C312</a:t>
          </a:r>
          <a:r>
            <a:rPr lang="zh-CN" altLang="en-US" sz="1200">
              <a:latin typeface="仿宋" panose="02010609060101010101" pitchFamily="3" charset="-122"/>
              <a:ea typeface="仿宋" panose="02010609060101010101" pitchFamily="3" charset="-122"/>
            </a:rPr>
            <a:t>产出质量</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F5AC86A3-986A-4132-92B3-7A3A29119821}">
      <dgm:prSet custT="1"/>
      <dgm:spPr/>
      <dgm:t>
        <a:bodyPr/>
        <a:p>
          <a:r>
            <a:rPr lang="en-US" altLang="en-US" sz="1200">
              <a:latin typeface="仿宋" panose="02010609060101010101" pitchFamily="3" charset="-122"/>
              <a:ea typeface="仿宋" panose="02010609060101010101" pitchFamily="3" charset="-122"/>
            </a:rPr>
            <a:t>C313</a:t>
          </a:r>
          <a:r>
            <a:rPr lang="zh-CN" altLang="en-US" sz="1200">
              <a:latin typeface="仿宋" panose="02010609060101010101" pitchFamily="3" charset="-122"/>
              <a:ea typeface="仿宋" panose="02010609060101010101" pitchFamily="3" charset="-122"/>
            </a:rPr>
            <a:t>产出成本</a:t>
          </a:r>
        </a:p>
      </dgm:t>
    </dgm:pt>
    <dgm:pt modelId="{A4C419EE-A621-45AC-B32A-41246CB0ACF7}" cxnId="{54E10C48-42D1-4848-8C65-01313F219E4D}" type="parTrans">
      <dgm:prSet/>
      <dgm:spPr/>
      <dgm:t>
        <a:bodyPr/>
        <a:p>
          <a:endParaRPr lang="zh-CN" altLang="en-US"/>
        </a:p>
      </dgm:t>
    </dgm:pt>
    <dgm:pt modelId="{CB59BF78-1F2D-42D2-AB8D-100A55DB1A69}" cxnId="{54E10C48-42D1-4848-8C65-01313F219E4D}" type="sibTrans">
      <dgm:prSet/>
      <dgm:spPr/>
      <dgm:t>
        <a:bodyPr/>
        <a:p>
          <a:endParaRPr lang="zh-CN" altLang="en-US"/>
        </a:p>
      </dgm:t>
    </dgm:pt>
    <dgm:pt modelId="{22CD13FF-D61A-4904-83EB-D09F6CC7A2FA}">
      <dgm:prSet custT="1"/>
      <dgm:spPr/>
      <dgm:t>
        <a:bodyPr/>
        <a:p>
          <a:r>
            <a:rPr lang="en-US" altLang="en-US" sz="1200">
              <a:latin typeface="仿宋" panose="02010609060101010101" pitchFamily="3" charset="-122"/>
              <a:ea typeface="仿宋" panose="02010609060101010101" pitchFamily="3" charset="-122"/>
            </a:rPr>
            <a:t>C314</a:t>
          </a:r>
          <a:r>
            <a:rPr lang="zh-CN" altLang="en-US" sz="1200">
              <a:latin typeface="仿宋" panose="02010609060101010101" pitchFamily="3" charset="-122"/>
              <a:ea typeface="仿宋" panose="02010609060101010101" pitchFamily="3" charset="-122"/>
            </a:rPr>
            <a:t>产出时效</a:t>
          </a:r>
        </a:p>
      </dgm:t>
    </dgm:pt>
    <dgm:pt modelId="{71B63BB2-C943-4580-8BA8-FEC0723E3CFB}" cxnId="{6F866788-50EC-41E1-AF99-BF196120442B}" type="parTrans">
      <dgm:prSet/>
      <dgm:spPr/>
      <dgm:t>
        <a:bodyPr/>
        <a:p>
          <a:endParaRPr lang="zh-CN" altLang="en-US"/>
        </a:p>
      </dgm:t>
    </dgm:pt>
    <dgm:pt modelId="{DE352C72-6C0F-4704-8950-0B77E698C428}" cxnId="{6F866788-50EC-41E1-AF99-BF196120442B}"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48301" custScaleY="57581"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67279">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63877"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37498" custScaleY="66618">
        <dgm:presLayoutVars>
          <dgm:chPref val="3"/>
        </dgm:presLayoutVars>
      </dgm:prSet>
      <dgm:spPr/>
      <dgm:t>
        <a:bodyPr/>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1647" custScaleY="74028">
        <dgm:presLayoutVars>
          <dgm:chPref val="3"/>
        </dgm:presLayoutVars>
      </dgm:prSet>
      <dgm:spPr/>
      <dgm:t>
        <a:bodyPr/>
        <a:p>
          <a:endParaRPr lang="zh-CN" altLang="en-US"/>
        </a:p>
      </dgm:t>
    </dgm:pt>
    <dgm:pt modelId="{765434B6-BB6E-4BFA-A327-3560D741B393}" type="pres">
      <dgm:prSet presAssocID="{22CD13FF-D61A-4904-83EB-D09F6CC7A2FA}" presName="hierChild3" presStyleCnt="0"/>
      <dgm:spPr/>
    </dgm:pt>
  </dgm:ptLst>
  <dgm:cxnLst>
    <dgm:cxn modelId="{356C0F9B-73B5-404C-9368-8B5630DA66F2}" type="presOf" srcId="{A640A637-00B2-4DD5-8596-47785AC3BE8F}" destId="{8F10226D-7E3C-4158-92FE-7514BD98517B}" srcOrd="0" destOrd="0" presId="urn:microsoft.com/office/officeart/2005/8/layout/hierarchy1#3"/>
    <dgm:cxn modelId="{DC859644-C8CF-48A9-8E19-674521E4262A}" type="presOf" srcId="{22CD13FF-D61A-4904-83EB-D09F6CC7A2FA}" destId="{A44EFC91-8480-45AF-8FAD-41B8CA42A2B1}" srcOrd="0" destOrd="0" presId="urn:microsoft.com/office/officeart/2005/8/layout/hierarchy1#3"/>
    <dgm:cxn modelId="{95B79379-928A-4249-93E9-8BCC80921784}" type="presOf" srcId="{71B63BB2-C943-4580-8BA8-FEC0723E3CFB}" destId="{6D997618-4FCC-40CC-B535-CBB875310FE9}"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436D2B48-0FF9-409F-BAFA-98F54C09E7F4}" type="presOf" srcId="{5432E5DD-71DB-4EF5-9DE2-CF79D938C733}" destId="{5D06FEC2-B505-4ECD-9C0F-C0705014FC50}" srcOrd="0" destOrd="0" presId="urn:microsoft.com/office/officeart/2005/8/layout/hierarchy1#3"/>
    <dgm:cxn modelId="{440C83D6-F8D7-4037-93ED-07D28A218764}" type="presOf" srcId="{1BDE227F-5A4C-48E8-9D2C-897B1D91E17E}" destId="{6974CC6A-AC88-480F-A4C5-328ACDF32A6F}"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CC414250-3615-4DEC-A5CB-3ECAE6391991}" type="presOf" srcId="{F5AC86A3-986A-4132-92B3-7A3A29119821}" destId="{709D320F-140F-4FBA-88EF-9D6411E7DD2F}"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15D482C5-8E79-46E9-BC2B-5AF8C7AFF9B9}" type="presOf" srcId="{D7A43BEB-FA12-4C0B-B759-6A062836903F}" destId="{7261301C-9B4A-414C-8F98-B467C514C0DB}"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50EAB72B-71C0-49E1-984C-69E444F669F5}" type="presOf" srcId="{0DFC7546-9DEA-4AC4-8AF7-5663955A8EC9}" destId="{7B309770-F968-4B0B-BBAB-D297361ABEDB}"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523CE835-D244-4F2C-90DF-606749E5FEFD}" type="presOf" srcId="{A4C419EE-A621-45AC-B32A-41246CB0ACF7}" destId="{0DE5A665-0724-40C0-A419-79A636B06912}" srcOrd="0" destOrd="0" presId="urn:microsoft.com/office/officeart/2005/8/layout/hierarchy1#3"/>
    <dgm:cxn modelId="{3AB0096C-AA8F-40D0-9301-0F0618F8B930}" type="presOf" srcId="{EA4044AE-C928-4710-8F11-6CBDEE346021}" destId="{96B5487D-F4C6-41DF-8D94-293FA42C6661}" srcOrd="0" destOrd="0" presId="urn:microsoft.com/office/officeart/2005/8/layout/hierarchy1#3"/>
    <dgm:cxn modelId="{A4B4AB80-EBD8-4A87-A8DA-FBF915AA84BA}" type="presParOf" srcId="{7261301C-9B4A-414C-8F98-B467C514C0DB}" destId="{E3F6ACFA-1EDD-4321-A7E3-EBBD85A13113}" srcOrd="0" destOrd="0" presId="urn:microsoft.com/office/officeart/2005/8/layout/hierarchy1#3"/>
    <dgm:cxn modelId="{1C2E9704-911E-4BD0-86D0-BCC461550966}" type="presParOf" srcId="{E3F6ACFA-1EDD-4321-A7E3-EBBD85A13113}" destId="{C73FF140-72AB-4D28-A478-C6F7E85D8B47}" srcOrd="0" destOrd="0" presId="urn:microsoft.com/office/officeart/2005/8/layout/hierarchy1#3"/>
    <dgm:cxn modelId="{4FF1AEA1-ED39-44A5-A4B0-814451F3FCE9}" type="presParOf" srcId="{C73FF140-72AB-4D28-A478-C6F7E85D8B47}" destId="{886B2A62-2115-42B6-9F98-D5FD9D2B1D14}" srcOrd="0" destOrd="0" presId="urn:microsoft.com/office/officeart/2005/8/layout/hierarchy1#3"/>
    <dgm:cxn modelId="{9E47E447-D8F4-4B34-BD7E-B9FE3F871E9E}" type="presParOf" srcId="{C73FF140-72AB-4D28-A478-C6F7E85D8B47}" destId="{6974CC6A-AC88-480F-A4C5-328ACDF32A6F}" srcOrd="1" destOrd="0" presId="urn:microsoft.com/office/officeart/2005/8/layout/hierarchy1#3"/>
    <dgm:cxn modelId="{48A918C6-8574-4524-8882-26D047D0EE53}" type="presParOf" srcId="{E3F6ACFA-1EDD-4321-A7E3-EBBD85A13113}" destId="{F62AF569-4562-4E32-9BDB-9DC646BEDF73}" srcOrd="1" destOrd="0" presId="urn:microsoft.com/office/officeart/2005/8/layout/hierarchy1#3"/>
    <dgm:cxn modelId="{D243A94E-827E-4640-B715-08CA6088F577}" type="presParOf" srcId="{F62AF569-4562-4E32-9BDB-9DC646BEDF73}" destId="{7B309770-F968-4B0B-BBAB-D297361ABEDB}" srcOrd="0" destOrd="0" presId="urn:microsoft.com/office/officeart/2005/8/layout/hierarchy1#3"/>
    <dgm:cxn modelId="{6C686C56-0B70-4CCD-A153-EEE475723985}" type="presParOf" srcId="{F62AF569-4562-4E32-9BDB-9DC646BEDF73}" destId="{87EB5F72-3614-43C7-B832-34B2005DC3B4}" srcOrd="1" destOrd="0" presId="urn:microsoft.com/office/officeart/2005/8/layout/hierarchy1#3"/>
    <dgm:cxn modelId="{40DC8C66-D4A6-44D1-8988-303958A9C254}" type="presParOf" srcId="{87EB5F72-3614-43C7-B832-34B2005DC3B4}" destId="{17C704FF-D944-4ADF-A54A-E45E28FCAF34}" srcOrd="0" destOrd="0" presId="urn:microsoft.com/office/officeart/2005/8/layout/hierarchy1#3"/>
    <dgm:cxn modelId="{27E0B4E0-6642-42B7-8C68-06131F3C9AFA}" type="presParOf" srcId="{17C704FF-D944-4ADF-A54A-E45E28FCAF34}" destId="{6AE71D67-12EA-44FE-8C0B-C92F33DC7343}" srcOrd="0" destOrd="0" presId="urn:microsoft.com/office/officeart/2005/8/layout/hierarchy1#3"/>
    <dgm:cxn modelId="{2570CA44-BE7A-4EF1-8EC3-72B9EABDD487}" type="presParOf" srcId="{17C704FF-D944-4ADF-A54A-E45E28FCAF34}" destId="{8F10226D-7E3C-4158-92FE-7514BD98517B}" srcOrd="1" destOrd="0" presId="urn:microsoft.com/office/officeart/2005/8/layout/hierarchy1#3"/>
    <dgm:cxn modelId="{580DBC10-BA98-486D-BF24-3E3CE8BFEF38}" type="presParOf" srcId="{87EB5F72-3614-43C7-B832-34B2005DC3B4}" destId="{65FA7CBF-E86A-4146-BAE1-EBAF09C00BA5}" srcOrd="1" destOrd="0" presId="urn:microsoft.com/office/officeart/2005/8/layout/hierarchy1#3"/>
    <dgm:cxn modelId="{6A6DAC22-4D7F-4FDF-A5E7-E667F15B363E}" type="presParOf" srcId="{F62AF569-4562-4E32-9BDB-9DC646BEDF73}" destId="{5D06FEC2-B505-4ECD-9C0F-C0705014FC50}" srcOrd="2" destOrd="0" presId="urn:microsoft.com/office/officeart/2005/8/layout/hierarchy1#3"/>
    <dgm:cxn modelId="{AB1244C9-556A-4B6F-B67F-58B28AE957BE}" type="presParOf" srcId="{F62AF569-4562-4E32-9BDB-9DC646BEDF73}" destId="{D9DB03C0-0485-438A-8977-2C94C8A65D3C}" srcOrd="3" destOrd="0" presId="urn:microsoft.com/office/officeart/2005/8/layout/hierarchy1#3"/>
    <dgm:cxn modelId="{4B14EE90-557F-4AAD-B032-E223C101B07E}" type="presParOf" srcId="{D9DB03C0-0485-438A-8977-2C94C8A65D3C}" destId="{A0F776B2-D3CF-4628-8C15-722A470D7AA8}" srcOrd="0" destOrd="0" presId="urn:microsoft.com/office/officeart/2005/8/layout/hierarchy1#3"/>
    <dgm:cxn modelId="{C3961028-9B01-4A98-8C31-099415BC1CF2}" type="presParOf" srcId="{A0F776B2-D3CF-4628-8C15-722A470D7AA8}" destId="{A33BDEE4-F6A4-4EBB-8EF1-590C8BE92E38}" srcOrd="0" destOrd="0" presId="urn:microsoft.com/office/officeart/2005/8/layout/hierarchy1#3"/>
    <dgm:cxn modelId="{F8FE762E-9BB2-4AA8-9A6D-8ABE47CA0332}" type="presParOf" srcId="{A0F776B2-D3CF-4628-8C15-722A470D7AA8}" destId="{96B5487D-F4C6-41DF-8D94-293FA42C6661}" srcOrd="1" destOrd="0" presId="urn:microsoft.com/office/officeart/2005/8/layout/hierarchy1#3"/>
    <dgm:cxn modelId="{532E7AB7-A7C1-4FF6-8B64-70087AA1C266}" type="presParOf" srcId="{D9DB03C0-0485-438A-8977-2C94C8A65D3C}" destId="{DFC56957-853A-4911-B76E-EB0946122DD9}" srcOrd="1" destOrd="0" presId="urn:microsoft.com/office/officeart/2005/8/layout/hierarchy1#3"/>
    <dgm:cxn modelId="{4B38860F-F67E-41CA-A2CC-6E4183698B1F}" type="presParOf" srcId="{F62AF569-4562-4E32-9BDB-9DC646BEDF73}" destId="{0DE5A665-0724-40C0-A419-79A636B06912}" srcOrd="4" destOrd="0" presId="urn:microsoft.com/office/officeart/2005/8/layout/hierarchy1#3"/>
    <dgm:cxn modelId="{D5DBFA59-1B00-4BBF-ACFE-7C5ECB368B61}" type="presParOf" srcId="{F62AF569-4562-4E32-9BDB-9DC646BEDF73}" destId="{4BC4DC70-B80E-4A13-AAD0-0DD4D490C34E}" srcOrd="5" destOrd="0" presId="urn:microsoft.com/office/officeart/2005/8/layout/hierarchy1#3"/>
    <dgm:cxn modelId="{EBB28DBF-8AF7-42F4-8CE6-11D64C39E2D5}" type="presParOf" srcId="{4BC4DC70-B80E-4A13-AAD0-0DD4D490C34E}" destId="{B977A69F-FA74-4A6F-907A-8FC9EFF12ED3}" srcOrd="0" destOrd="0" presId="urn:microsoft.com/office/officeart/2005/8/layout/hierarchy1#3"/>
    <dgm:cxn modelId="{C4CB489D-6505-41E4-A50F-2885E169F99D}" type="presParOf" srcId="{B977A69F-FA74-4A6F-907A-8FC9EFF12ED3}" destId="{AAB8FCC0-5AE7-4EDC-978A-116FA6BFBCBC}" srcOrd="0" destOrd="0" presId="urn:microsoft.com/office/officeart/2005/8/layout/hierarchy1#3"/>
    <dgm:cxn modelId="{2F44FA43-FA39-4AA7-B923-BC4C6AA36A30}" type="presParOf" srcId="{B977A69F-FA74-4A6F-907A-8FC9EFF12ED3}" destId="{709D320F-140F-4FBA-88EF-9D6411E7DD2F}" srcOrd="1" destOrd="0" presId="urn:microsoft.com/office/officeart/2005/8/layout/hierarchy1#3"/>
    <dgm:cxn modelId="{990DA45E-FC14-4C1D-A4DB-69BA2666855F}" type="presParOf" srcId="{4BC4DC70-B80E-4A13-AAD0-0DD4D490C34E}" destId="{52FCBED5-A385-4E4C-8280-F07B1613150E}" srcOrd="1" destOrd="0" presId="urn:microsoft.com/office/officeart/2005/8/layout/hierarchy1#3"/>
    <dgm:cxn modelId="{BDBA5413-B86A-4A75-B973-5B0DF287FB66}" type="presParOf" srcId="{F62AF569-4562-4E32-9BDB-9DC646BEDF73}" destId="{6D997618-4FCC-40CC-B535-CBB875310FE9}" srcOrd="6" destOrd="0" presId="urn:microsoft.com/office/officeart/2005/8/layout/hierarchy1#3"/>
    <dgm:cxn modelId="{59B1E9C7-05AC-4617-A04C-3F2AACBE2E3E}" type="presParOf" srcId="{F62AF569-4562-4E32-9BDB-9DC646BEDF73}" destId="{E8EF1719-EDF3-4597-9247-69A2014B50B3}" srcOrd="7" destOrd="0" presId="urn:microsoft.com/office/officeart/2005/8/layout/hierarchy1#3"/>
    <dgm:cxn modelId="{9B8E4F9F-180E-4EF9-A3D2-6D6E373639BB}" type="presParOf" srcId="{E8EF1719-EDF3-4597-9247-69A2014B50B3}" destId="{D15E8023-38B7-4E38-BEF5-71286837680B}" srcOrd="0" destOrd="0" presId="urn:microsoft.com/office/officeart/2005/8/layout/hierarchy1#3"/>
    <dgm:cxn modelId="{A33A587B-3DD2-45B7-931C-611219E57B67}" type="presParOf" srcId="{D15E8023-38B7-4E38-BEF5-71286837680B}" destId="{1CE10623-E3BA-4BEE-9D9B-CBAA8102CA24}" srcOrd="0" destOrd="0" presId="urn:microsoft.com/office/officeart/2005/8/layout/hierarchy1#3"/>
    <dgm:cxn modelId="{0DF99762-B142-4E7D-A198-05E50426AA13}" type="presParOf" srcId="{D15E8023-38B7-4E38-BEF5-71286837680B}" destId="{A44EFC91-8480-45AF-8FAD-41B8CA42A2B1}" srcOrd="1" destOrd="0" presId="urn:microsoft.com/office/officeart/2005/8/layout/hierarchy1#3"/>
    <dgm:cxn modelId="{6BBC2173-AF55-4DDA-9417-38554B55EF22}" type="presParOf" srcId="{E8EF1719-EDF3-4597-9247-69A2014B50B3}" destId="{765434B6-BB6E-4BFA-A327-3560D741B393}" srcOrd="1" destOrd="0" presId="urn:microsoft.com/office/officeart/2005/8/layout/hierarchy1#3"/>
  </dgm:cxnLst>
  <dgm:bg/>
  <dgm:whole/>
</dgm:dataModel>
</file>

<file path=word/diagrams/data9.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p>
          <a:endParaRPr lang="zh-CN" altLang="en-US"/>
        </a:p>
      </dgm:t>
    </dgm:pt>
    <dgm:pt modelId="{1BDE227F-5A4C-48E8-9D2C-897B1D91E17E}">
      <dgm:prSet phldrT="[文本]" custT="1"/>
      <dgm:spPr/>
      <dgm:t>
        <a:bodyPr/>
        <a:p>
          <a:r>
            <a:rPr lang="zh-CN" altLang="en-US" sz="1200">
              <a:latin typeface="仿宋" panose="02010609060101010101" pitchFamily="3" charset="-122"/>
              <a:ea typeface="仿宋" panose="02010609060101010101" pitchFamily="3" charset="-122"/>
            </a:rPr>
            <a:t>B32项目效果</a:t>
          </a:r>
        </a:p>
      </dgm:t>
    </dgm:pt>
    <dgm:pt modelId="{6F46EC70-7AD3-4B5A-8717-89F00C57E370}" cxnId="{F678ECFF-ADD2-49D5-97DE-33A844E9CEEA}" type="parTrans">
      <dgm:prSet/>
      <dgm:spPr/>
      <dgm:t>
        <a:bodyPr/>
        <a:p>
          <a:endParaRPr lang="zh-CN" altLang="en-US">
            <a:latin typeface="仿宋" panose="02010609060101010101" pitchFamily="3" charset="-122"/>
            <a:ea typeface="仿宋" panose="02010609060101010101" pitchFamily="3" charset="-122"/>
          </a:endParaRPr>
        </a:p>
      </dgm:t>
    </dgm:pt>
    <dgm:pt modelId="{574B75D4-2129-4D47-B96E-710FAE841DB3}" cxnId="{F678ECFF-ADD2-49D5-97DE-33A844E9CEEA}" type="sibTrans">
      <dgm:prSet/>
      <dgm:spPr/>
      <dgm:t>
        <a:bodyPr/>
        <a:p>
          <a:endParaRPr lang="zh-CN" altLang="en-US">
            <a:latin typeface="仿宋" panose="02010609060101010101" pitchFamily="3" charset="-122"/>
            <a:ea typeface="仿宋" panose="02010609060101010101" pitchFamily="3" charset="-122"/>
          </a:endParaRPr>
        </a:p>
      </dgm:t>
    </dgm:pt>
    <dgm:pt modelId="{A640A637-00B2-4DD5-8596-47785AC3BE8F}">
      <dgm:prSet phldrT="[文本]" custT="1"/>
      <dgm:spPr/>
      <dgm:t>
        <a:bodyPr/>
        <a:p>
          <a:r>
            <a:rPr lang="zh-CN" altLang="en-US" sz="1200">
              <a:latin typeface="仿宋" panose="02010609060101010101" pitchFamily="3" charset="-122"/>
              <a:ea typeface="仿宋" panose="02010609060101010101" pitchFamily="3" charset="-122"/>
            </a:rPr>
            <a:t>C321社会效益</a:t>
          </a:r>
        </a:p>
      </dgm:t>
    </dgm:pt>
    <dgm:pt modelId="{0DFC7546-9DEA-4AC4-8AF7-5663955A8EC9}" cxnId="{50D951DF-A499-4A59-B5EC-38F309BFDA5B}" type="parTrans">
      <dgm:prSet/>
      <dgm:spPr/>
      <dgm:t>
        <a:bodyPr/>
        <a:p>
          <a:endParaRPr lang="zh-CN" altLang="en-US">
            <a:latin typeface="仿宋" panose="02010609060101010101" pitchFamily="3" charset="-122"/>
            <a:ea typeface="仿宋" panose="02010609060101010101" pitchFamily="3" charset="-122"/>
          </a:endParaRPr>
        </a:p>
      </dgm:t>
    </dgm:pt>
    <dgm:pt modelId="{457E2A54-B388-47F1-9B5A-1C2F3E6925CF}" cxnId="{50D951DF-A499-4A59-B5EC-38F309BFDA5B}" type="sibTrans">
      <dgm:prSet/>
      <dgm:spPr/>
      <dgm:t>
        <a:bodyPr/>
        <a:p>
          <a:endParaRPr lang="zh-CN" altLang="en-US">
            <a:latin typeface="仿宋" panose="02010609060101010101" pitchFamily="3" charset="-122"/>
            <a:ea typeface="仿宋" panose="02010609060101010101" pitchFamily="3" charset="-122"/>
          </a:endParaRPr>
        </a:p>
      </dgm:t>
    </dgm:pt>
    <dgm:pt modelId="{EA4044AE-C928-4710-8F11-6CBDEE346021}">
      <dgm:prSet phldrT="[文本]" custT="1"/>
      <dgm:spPr/>
      <dgm:t>
        <a:bodyPr/>
        <a:p>
          <a:r>
            <a:rPr lang="zh-CN" altLang="en-US" sz="1200">
              <a:latin typeface="仿宋" panose="02010609060101010101" pitchFamily="3" charset="-122"/>
              <a:ea typeface="仿宋" panose="02010609060101010101" pitchFamily="3" charset="-122"/>
            </a:rPr>
            <a:t>C32</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可持续影响</a:t>
          </a:r>
        </a:p>
      </dgm:t>
    </dgm:pt>
    <dgm:pt modelId="{5432E5DD-71DB-4EF5-9DE2-CF79D938C733}" cxnId="{19FF91E8-2F12-4DB4-B0B3-442A192EFEEF}" type="parTrans">
      <dgm:prSet/>
      <dgm:spPr/>
      <dgm:t>
        <a:bodyPr/>
        <a:p>
          <a:endParaRPr lang="zh-CN" altLang="en-US">
            <a:latin typeface="仿宋" panose="02010609060101010101" pitchFamily="3" charset="-122"/>
            <a:ea typeface="仿宋" panose="02010609060101010101" pitchFamily="3" charset="-122"/>
          </a:endParaRPr>
        </a:p>
      </dgm:t>
    </dgm:pt>
    <dgm:pt modelId="{0A4C6ADD-7088-4893-B79A-DFEAB7845941}" cxnId="{19FF91E8-2F12-4DB4-B0B3-442A192EFEEF}" type="sibTrans">
      <dgm:prSet/>
      <dgm:spPr/>
      <dgm:t>
        <a:bodyPr/>
        <a:p>
          <a:endParaRPr lang="zh-CN" altLang="en-US">
            <a:latin typeface="仿宋" panose="02010609060101010101" pitchFamily="3" charset="-122"/>
            <a:ea typeface="仿宋" panose="02010609060101010101" pitchFamily="3" charset="-122"/>
          </a:endParaRPr>
        </a:p>
      </dgm:t>
    </dgm:pt>
    <dgm:pt modelId="{F5AC86A3-986A-4132-92B3-7A3A29119821}">
      <dgm:prSet custT="1"/>
      <dgm:spPr/>
      <dgm:t>
        <a:bodyPr/>
        <a:p>
          <a:r>
            <a:rPr lang="zh-CN" altLang="en-US" sz="1200">
              <a:latin typeface="仿宋" panose="02010609060101010101" pitchFamily="3" charset="-122"/>
              <a:ea typeface="仿宋" panose="02010609060101010101" pitchFamily="3" charset="-122"/>
            </a:rPr>
            <a:t>C32</a:t>
          </a:r>
          <a:r>
            <a:rPr lang="en-US" altLang="zh-CN" sz="1200">
              <a:latin typeface="仿宋" panose="02010609060101010101" pitchFamily="3" charset="-122"/>
              <a:ea typeface="仿宋" panose="02010609060101010101" pitchFamily="3" charset="-122"/>
            </a:rPr>
            <a:t>3</a:t>
          </a:r>
          <a:r>
            <a:rPr lang="zh-CN" altLang="en-US" sz="1200">
              <a:latin typeface="仿宋" panose="02010609060101010101" pitchFamily="3" charset="-122"/>
              <a:ea typeface="仿宋" panose="02010609060101010101" pitchFamily="3" charset="-122"/>
            </a:rPr>
            <a:t>服务对象满意度</a:t>
          </a:r>
        </a:p>
      </dgm:t>
    </dgm:pt>
    <dgm:pt modelId="{A4C419EE-A621-45AC-B32A-41246CB0ACF7}" cxnId="{54E10C48-42D1-4848-8C65-01313F219E4D}" type="parTrans">
      <dgm:prSet/>
      <dgm:spPr/>
      <dgm:t>
        <a:bodyPr/>
        <a:p>
          <a:endParaRPr lang="zh-CN" altLang="en-US">
            <a:latin typeface="仿宋" panose="02010609060101010101" pitchFamily="3" charset="-122"/>
            <a:ea typeface="仿宋" panose="02010609060101010101" pitchFamily="3" charset="-122"/>
          </a:endParaRPr>
        </a:p>
      </dgm:t>
    </dgm:pt>
    <dgm:pt modelId="{CB59BF78-1F2D-42D2-AB8D-100A55DB1A69}" cxnId="{54E10C48-42D1-4848-8C65-01313F219E4D}" type="sibTrans">
      <dgm:prSet/>
      <dgm:spPr/>
      <dgm:t>
        <a:bodyPr/>
        <a:p>
          <a:endParaRPr lang="zh-CN" altLang="en-US">
            <a:latin typeface="仿宋" panose="02010609060101010101" pitchFamily="3" charset="-122"/>
            <a:ea typeface="仿宋" panose="02010609060101010101" pitchFamily="3" charset="-122"/>
          </a:endParaRPr>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48301" custScaleY="57581"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24263" custScaleY="67279">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23749" custScaleY="63877"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3"/>
      <dgm:spPr/>
      <dgm:t>
        <a:bodyPr/>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3"/>
      <dgm:spPr/>
    </dgm:pt>
    <dgm:pt modelId="{709D320F-140F-4FBA-88EF-9D6411E7DD2F}" type="pres">
      <dgm:prSet presAssocID="{F5AC86A3-986A-4132-92B3-7A3A29119821}" presName="text2" presStyleLbl="fgAcc2" presStyleIdx="2" presStyleCnt="3" custScaleX="137498" custScaleY="66618">
        <dgm:presLayoutVars>
          <dgm:chPref val="3"/>
        </dgm:presLayoutVars>
      </dgm:prSet>
      <dgm:spPr/>
      <dgm:t>
        <a:bodyPr/>
        <a:p>
          <a:endParaRPr lang="zh-CN" altLang="en-US"/>
        </a:p>
      </dgm:t>
    </dgm:pt>
    <dgm:pt modelId="{52FCBED5-A385-4E4C-8280-F07B1613150E}" type="pres">
      <dgm:prSet presAssocID="{F5AC86A3-986A-4132-92B3-7A3A29119821}" presName="hierChild3" presStyleCnt="0"/>
      <dgm:spPr/>
    </dgm:pt>
  </dgm:ptLst>
  <dgm:cxnLst>
    <dgm:cxn modelId="{EDEE710C-344D-4D80-B03F-0347E0CD63E5}" type="presOf" srcId="{1BDE227F-5A4C-48E8-9D2C-897B1D91E17E}" destId="{6974CC6A-AC88-480F-A4C5-328ACDF32A6F}"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B76DAF11-B3E1-42EF-BD31-AA5EFEC2AA27}" type="presOf" srcId="{F5AC86A3-986A-4132-92B3-7A3A29119821}" destId="{709D320F-140F-4FBA-88EF-9D6411E7DD2F}"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3B2EDF9D-1900-44F7-9ED6-6253E45BA47A}" type="presOf" srcId="{D7A43BEB-FA12-4C0B-B759-6A062836903F}" destId="{7261301C-9B4A-414C-8F98-B467C514C0DB}"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E7BC843E-A260-4910-AF9A-D723C985E132}" type="presOf" srcId="{A4C419EE-A621-45AC-B32A-41246CB0ACF7}" destId="{0DE5A665-0724-40C0-A419-79A636B06912}" srcOrd="0" destOrd="0" presId="urn:microsoft.com/office/officeart/2005/8/layout/hierarchy1#3"/>
    <dgm:cxn modelId="{ABCD283D-8161-4EC4-8DA5-518E396AE08E}" type="presOf" srcId="{A640A637-00B2-4DD5-8596-47785AC3BE8F}" destId="{8F10226D-7E3C-4158-92FE-7514BD98517B}" srcOrd="0" destOrd="0" presId="urn:microsoft.com/office/officeart/2005/8/layout/hierarchy1#3"/>
    <dgm:cxn modelId="{30F09A9F-9D68-405D-8043-F0F2B26123C5}" type="presOf" srcId="{0DFC7546-9DEA-4AC4-8AF7-5663955A8EC9}" destId="{7B309770-F968-4B0B-BBAB-D297361ABEDB}" srcOrd="0" destOrd="0" presId="urn:microsoft.com/office/officeart/2005/8/layout/hierarchy1#3"/>
    <dgm:cxn modelId="{88262EA7-C616-406D-86A7-CA4FAA0D35E3}" type="presOf" srcId="{5432E5DD-71DB-4EF5-9DE2-CF79D938C733}" destId="{5D06FEC2-B505-4ECD-9C0F-C0705014FC50}" srcOrd="0" destOrd="0" presId="urn:microsoft.com/office/officeart/2005/8/layout/hierarchy1#3"/>
    <dgm:cxn modelId="{2E50664F-C69C-4B59-8EB7-2E64201A5A2D}" type="presOf" srcId="{EA4044AE-C928-4710-8F11-6CBDEE346021}" destId="{96B5487D-F4C6-41DF-8D94-293FA42C6661}" srcOrd="0" destOrd="0" presId="urn:microsoft.com/office/officeart/2005/8/layout/hierarchy1#3"/>
    <dgm:cxn modelId="{A4499B85-B8BE-4F82-947D-47D5B712ECAA}" type="presParOf" srcId="{7261301C-9B4A-414C-8F98-B467C514C0DB}" destId="{E3F6ACFA-1EDD-4321-A7E3-EBBD85A13113}" srcOrd="0" destOrd="0" presId="urn:microsoft.com/office/officeart/2005/8/layout/hierarchy1#3"/>
    <dgm:cxn modelId="{11B1932B-A451-4CCA-AAD1-9AA87114EEBC}" type="presParOf" srcId="{E3F6ACFA-1EDD-4321-A7E3-EBBD85A13113}" destId="{C73FF140-72AB-4D28-A478-C6F7E85D8B47}" srcOrd="0" destOrd="0" presId="urn:microsoft.com/office/officeart/2005/8/layout/hierarchy1#3"/>
    <dgm:cxn modelId="{37D0680D-10A1-47D7-AD71-651CBE323B0B}" type="presParOf" srcId="{C73FF140-72AB-4D28-A478-C6F7E85D8B47}" destId="{886B2A62-2115-42B6-9F98-D5FD9D2B1D14}" srcOrd="0" destOrd="0" presId="urn:microsoft.com/office/officeart/2005/8/layout/hierarchy1#3"/>
    <dgm:cxn modelId="{C8973237-67B6-4CF8-985E-18183896D368}" type="presParOf" srcId="{C73FF140-72AB-4D28-A478-C6F7E85D8B47}" destId="{6974CC6A-AC88-480F-A4C5-328ACDF32A6F}" srcOrd="1" destOrd="0" presId="urn:microsoft.com/office/officeart/2005/8/layout/hierarchy1#3"/>
    <dgm:cxn modelId="{738846D9-4730-4754-A249-7BE4BE0DAB06}" type="presParOf" srcId="{E3F6ACFA-1EDD-4321-A7E3-EBBD85A13113}" destId="{F62AF569-4562-4E32-9BDB-9DC646BEDF73}" srcOrd="1" destOrd="0" presId="urn:microsoft.com/office/officeart/2005/8/layout/hierarchy1#3"/>
    <dgm:cxn modelId="{ACD35EE5-CF18-4776-AB25-D163C025A9D8}" type="presParOf" srcId="{F62AF569-4562-4E32-9BDB-9DC646BEDF73}" destId="{7B309770-F968-4B0B-BBAB-D297361ABEDB}" srcOrd="0" destOrd="0" presId="urn:microsoft.com/office/officeart/2005/8/layout/hierarchy1#3"/>
    <dgm:cxn modelId="{8CAF791A-965F-40FB-95DD-69CC380E76CC}" type="presParOf" srcId="{F62AF569-4562-4E32-9BDB-9DC646BEDF73}" destId="{87EB5F72-3614-43C7-B832-34B2005DC3B4}" srcOrd="1" destOrd="0" presId="urn:microsoft.com/office/officeart/2005/8/layout/hierarchy1#3"/>
    <dgm:cxn modelId="{09D49DB4-1A5D-4382-96D1-87D7113C5075}" type="presParOf" srcId="{87EB5F72-3614-43C7-B832-34B2005DC3B4}" destId="{17C704FF-D944-4ADF-A54A-E45E28FCAF34}" srcOrd="0" destOrd="0" presId="urn:microsoft.com/office/officeart/2005/8/layout/hierarchy1#3"/>
    <dgm:cxn modelId="{2542808E-4F1B-4F84-B4C2-5040049D1F4E}" type="presParOf" srcId="{17C704FF-D944-4ADF-A54A-E45E28FCAF34}" destId="{6AE71D67-12EA-44FE-8C0B-C92F33DC7343}" srcOrd="0" destOrd="0" presId="urn:microsoft.com/office/officeart/2005/8/layout/hierarchy1#3"/>
    <dgm:cxn modelId="{D801A7AB-7E60-4F3B-AFF6-C25DAE6BB94F}" type="presParOf" srcId="{17C704FF-D944-4ADF-A54A-E45E28FCAF34}" destId="{8F10226D-7E3C-4158-92FE-7514BD98517B}" srcOrd="1" destOrd="0" presId="urn:microsoft.com/office/officeart/2005/8/layout/hierarchy1#3"/>
    <dgm:cxn modelId="{AB002B18-75D8-440F-9F7D-F6D4842F0D93}" type="presParOf" srcId="{87EB5F72-3614-43C7-B832-34B2005DC3B4}" destId="{65FA7CBF-E86A-4146-BAE1-EBAF09C00BA5}" srcOrd="1" destOrd="0" presId="urn:microsoft.com/office/officeart/2005/8/layout/hierarchy1#3"/>
    <dgm:cxn modelId="{25AF989D-6A13-48AF-B5BE-6E8068814A8F}" type="presParOf" srcId="{F62AF569-4562-4E32-9BDB-9DC646BEDF73}" destId="{5D06FEC2-B505-4ECD-9C0F-C0705014FC50}" srcOrd="2" destOrd="0" presId="urn:microsoft.com/office/officeart/2005/8/layout/hierarchy1#3"/>
    <dgm:cxn modelId="{C30B1BF7-FE59-482F-9352-1A6C9C1967FB}" type="presParOf" srcId="{F62AF569-4562-4E32-9BDB-9DC646BEDF73}" destId="{D9DB03C0-0485-438A-8977-2C94C8A65D3C}" srcOrd="3" destOrd="0" presId="urn:microsoft.com/office/officeart/2005/8/layout/hierarchy1#3"/>
    <dgm:cxn modelId="{A1A79771-48BB-449C-855A-428B82D8E3EA}" type="presParOf" srcId="{D9DB03C0-0485-438A-8977-2C94C8A65D3C}" destId="{A0F776B2-D3CF-4628-8C15-722A470D7AA8}" srcOrd="0" destOrd="0" presId="urn:microsoft.com/office/officeart/2005/8/layout/hierarchy1#3"/>
    <dgm:cxn modelId="{D3AC988E-02A7-4125-BE17-CAB3423F29BA}" type="presParOf" srcId="{A0F776B2-D3CF-4628-8C15-722A470D7AA8}" destId="{A33BDEE4-F6A4-4EBB-8EF1-590C8BE92E38}" srcOrd="0" destOrd="0" presId="urn:microsoft.com/office/officeart/2005/8/layout/hierarchy1#3"/>
    <dgm:cxn modelId="{4F9E9355-1225-4EE5-86A7-E8154574E5DD}" type="presParOf" srcId="{A0F776B2-D3CF-4628-8C15-722A470D7AA8}" destId="{96B5487D-F4C6-41DF-8D94-293FA42C6661}" srcOrd="1" destOrd="0" presId="urn:microsoft.com/office/officeart/2005/8/layout/hierarchy1#3"/>
    <dgm:cxn modelId="{E5FCFB9C-7C06-4000-868C-4EF011ACD0DC}" type="presParOf" srcId="{D9DB03C0-0485-438A-8977-2C94C8A65D3C}" destId="{DFC56957-853A-4911-B76E-EB0946122DD9}" srcOrd="1" destOrd="0" presId="urn:microsoft.com/office/officeart/2005/8/layout/hierarchy1#3"/>
    <dgm:cxn modelId="{90B8430A-2A74-4CAE-99DE-CB937FEB4DDC}" type="presParOf" srcId="{F62AF569-4562-4E32-9BDB-9DC646BEDF73}" destId="{0DE5A665-0724-40C0-A419-79A636B06912}" srcOrd="4" destOrd="0" presId="urn:microsoft.com/office/officeart/2005/8/layout/hierarchy1#3"/>
    <dgm:cxn modelId="{5B4680D6-5901-42BB-9889-37720D2E845B}" type="presParOf" srcId="{F62AF569-4562-4E32-9BDB-9DC646BEDF73}" destId="{4BC4DC70-B80E-4A13-AAD0-0DD4D490C34E}" srcOrd="5" destOrd="0" presId="urn:microsoft.com/office/officeart/2005/8/layout/hierarchy1#3"/>
    <dgm:cxn modelId="{82B1EDA6-A012-456D-806F-CCA5B32D1F3D}" type="presParOf" srcId="{4BC4DC70-B80E-4A13-AAD0-0DD4D490C34E}" destId="{B977A69F-FA74-4A6F-907A-8FC9EFF12ED3}" srcOrd="0" destOrd="0" presId="urn:microsoft.com/office/officeart/2005/8/layout/hierarchy1#3"/>
    <dgm:cxn modelId="{F7CFA292-C6B9-43C1-B0C5-3ED6DED0E0FD}" type="presParOf" srcId="{B977A69F-FA74-4A6F-907A-8FC9EFF12ED3}" destId="{AAB8FCC0-5AE7-4EDC-978A-116FA6BFBCBC}" srcOrd="0" destOrd="0" presId="urn:microsoft.com/office/officeart/2005/8/layout/hierarchy1#3"/>
    <dgm:cxn modelId="{A09F18D9-E574-455C-BA27-8F5AE14F0D86}" type="presParOf" srcId="{B977A69F-FA74-4A6F-907A-8FC9EFF12ED3}" destId="{709D320F-140F-4FBA-88EF-9D6411E7DD2F}" srcOrd="1" destOrd="0" presId="urn:microsoft.com/office/officeart/2005/8/layout/hierarchy1#3"/>
    <dgm:cxn modelId="{CBF432AF-531D-4275-8731-E8FFCB00364C}" type="presParOf" srcId="{4BC4DC70-B80E-4A13-AAD0-0DD4D490C34E}" destId="{52FCBED5-A385-4E4C-8280-F07B1613150E}" srcOrd="1" destOrd="0" presId="urn:microsoft.com/office/officeart/2005/8/layout/hierarchy1#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2312" y="212178"/>
          <a:ext cx="889394" cy="526012"/>
        </a:xfrm>
        <a:custGeom>
          <a:avLst/>
          <a:gdLst/>
          <a:ahLst/>
          <a:cxnLst/>
          <a:rect l="0" t="0" r="0" b="0"/>
          <a:pathLst>
            <a:path>
              <a:moveTo>
                <a:pt x="0" y="0"/>
              </a:moveTo>
              <a:lnTo>
                <a:pt x="0" y="390139"/>
              </a:lnTo>
              <a:lnTo>
                <a:pt x="889394" y="390139"/>
              </a:lnTo>
              <a:lnTo>
                <a:pt x="889394" y="52601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562199" y="212178"/>
          <a:ext cx="890113" cy="525885"/>
        </a:xfrm>
        <a:custGeom>
          <a:avLst/>
          <a:gdLst/>
          <a:ahLst/>
          <a:cxnLst/>
          <a:rect l="0" t="0" r="0" b="0"/>
          <a:pathLst>
            <a:path>
              <a:moveTo>
                <a:pt x="890113" y="0"/>
              </a:moveTo>
              <a:lnTo>
                <a:pt x="890113" y="390011"/>
              </a:lnTo>
              <a:lnTo>
                <a:pt x="0" y="390011"/>
              </a:lnTo>
              <a:lnTo>
                <a:pt x="0" y="5258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18961" y="-99192"/>
          <a:ext cx="1466701" cy="3113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1928" y="55626"/>
          <a:ext cx="1466701" cy="3113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A1</a:t>
          </a:r>
          <a:r>
            <a:rPr lang="zh-CN" altLang="en-US" sz="1200" kern="1200">
              <a:latin typeface="仿宋" panose="02010609060101010101" pitchFamily="3" charset="-122"/>
              <a:ea typeface="仿宋" panose="02010609060101010101" pitchFamily="3" charset="-122"/>
            </a:rPr>
            <a:t>项目决策</a:t>
          </a:r>
          <a:endParaRPr lang="en-US" altLang="zh-CN" sz="1200" kern="1200">
            <a:latin typeface="仿宋" panose="02010609060101010101" pitchFamily="3" charset="-122"/>
            <a:ea typeface="仿宋" panose="02010609060101010101" pitchFamily="3" charset="-122"/>
          </a:endParaRPr>
        </a:p>
      </dsp:txBody>
      <dsp:txXfrm>
        <a:off x="1891048" y="64746"/>
        <a:ext cx="1448461" cy="293130"/>
      </dsp:txXfrm>
    </dsp:sp>
    <dsp:sp modelId="{6AE71D67-12EA-44FE-8C0B-C92F33DC7343}">
      <dsp:nvSpPr>
        <dsp:cNvPr id="0" name=""/>
        <dsp:cNvSpPr/>
      </dsp:nvSpPr>
      <dsp:spPr>
        <a:xfrm>
          <a:off x="828848" y="738063"/>
          <a:ext cx="1466701" cy="36512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91815" y="892882"/>
          <a:ext cx="1466701" cy="36512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1002509" y="903576"/>
        <a:ext cx="1445313" cy="343740"/>
      </dsp:txXfrm>
    </dsp:sp>
    <dsp:sp modelId="{A33BDEE4-F6A4-4EBB-8EF1-590C8BE92E38}">
      <dsp:nvSpPr>
        <dsp:cNvPr id="0" name=""/>
        <dsp:cNvSpPr/>
      </dsp:nvSpPr>
      <dsp:spPr>
        <a:xfrm>
          <a:off x="2608356" y="738191"/>
          <a:ext cx="1466701" cy="39604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771323" y="893009"/>
          <a:ext cx="1466701" cy="3960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B12</a:t>
          </a:r>
          <a:r>
            <a:rPr lang="zh-CN" altLang="en-US" sz="1200" kern="1200">
              <a:latin typeface="仿宋" panose="02010609060101010101" pitchFamily="3" charset="-122"/>
              <a:ea typeface="仿宋" panose="02010609060101010101" pitchFamily="3" charset="-122"/>
            </a:rPr>
            <a:t>决策过程</a:t>
          </a:r>
          <a:endParaRPr lang="en-US" altLang="zh-CN" sz="1200" kern="1200">
            <a:latin typeface="仿宋" panose="02010609060101010101" pitchFamily="3" charset="-122"/>
            <a:ea typeface="仿宋" panose="02010609060101010101" pitchFamily="3" charset="-122"/>
          </a:endParaRPr>
        </a:p>
      </dsp:txBody>
      <dsp:txXfrm>
        <a:off x="2782923" y="904609"/>
        <a:ext cx="1443501" cy="3728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9218DA-FFA2-42A8-87E5-362FB56D10AE}">
      <dsp:nvSpPr>
        <dsp:cNvPr id="0" name=""/>
        <dsp:cNvSpPr/>
      </dsp:nvSpPr>
      <dsp:spPr>
        <a:xfrm>
          <a:off x="2475535" y="365739"/>
          <a:ext cx="1740594" cy="386609"/>
        </a:xfrm>
        <a:custGeom>
          <a:avLst/>
          <a:gdLst/>
          <a:ahLst/>
          <a:cxnLst/>
          <a:rect l="0" t="0" r="0" b="0"/>
          <a:pathLst>
            <a:path>
              <a:moveTo>
                <a:pt x="0" y="0"/>
              </a:moveTo>
              <a:lnTo>
                <a:pt x="0" y="286720"/>
              </a:lnTo>
              <a:lnTo>
                <a:pt x="1740594" y="286720"/>
              </a:lnTo>
              <a:lnTo>
                <a:pt x="1740594" y="38660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9815" y="365739"/>
          <a:ext cx="91440" cy="386705"/>
        </a:xfrm>
        <a:custGeom>
          <a:avLst/>
          <a:gdLst/>
          <a:ahLst/>
          <a:cxnLst/>
          <a:rect l="0" t="0" r="0" b="0"/>
          <a:pathLst>
            <a:path>
              <a:moveTo>
                <a:pt x="45720" y="0"/>
              </a:moveTo>
              <a:lnTo>
                <a:pt x="45720" y="286816"/>
              </a:lnTo>
              <a:lnTo>
                <a:pt x="51844" y="286816"/>
              </a:lnTo>
              <a:lnTo>
                <a:pt x="51844" y="3867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55277" y="365739"/>
          <a:ext cx="1720258" cy="386609"/>
        </a:xfrm>
        <a:custGeom>
          <a:avLst/>
          <a:gdLst/>
          <a:ahLst/>
          <a:cxnLst/>
          <a:rect l="0" t="0" r="0" b="0"/>
          <a:pathLst>
            <a:path>
              <a:moveTo>
                <a:pt x="1720258" y="0"/>
              </a:moveTo>
              <a:lnTo>
                <a:pt x="1720258" y="286720"/>
              </a:lnTo>
              <a:lnTo>
                <a:pt x="0" y="286720"/>
              </a:lnTo>
              <a:lnTo>
                <a:pt x="0" y="38660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36405" y="47733"/>
          <a:ext cx="1078259" cy="31800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56212" y="161549"/>
          <a:ext cx="1078259" cy="31800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2065526" y="170863"/>
        <a:ext cx="1059631" cy="299378"/>
      </dsp:txXfrm>
    </dsp:sp>
    <dsp:sp modelId="{6AE71D67-12EA-44FE-8C0B-C92F33DC7343}">
      <dsp:nvSpPr>
        <dsp:cNvPr id="0" name=""/>
        <dsp:cNvSpPr/>
      </dsp:nvSpPr>
      <dsp:spPr>
        <a:xfrm>
          <a:off x="1460" y="752349"/>
          <a:ext cx="1507633" cy="26842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1267" y="866165"/>
          <a:ext cx="1507633" cy="26842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C111</a:t>
          </a:r>
          <a:r>
            <a:rPr lang="zh-CN" altLang="en-US" sz="1200" kern="1200">
              <a:latin typeface="仿宋" panose="02010609060101010101" pitchFamily="3" charset="-122"/>
              <a:ea typeface="仿宋" panose="02010609060101010101" pitchFamily="3" charset="-122"/>
            </a:rPr>
            <a:t>目标规范</a:t>
          </a:r>
        </a:p>
      </dsp:txBody>
      <dsp:txXfrm>
        <a:off x="129129" y="874027"/>
        <a:ext cx="1491909" cy="252703"/>
      </dsp:txXfrm>
    </dsp:sp>
    <dsp:sp modelId="{A33BDEE4-F6A4-4EBB-8EF1-590C8BE92E38}">
      <dsp:nvSpPr>
        <dsp:cNvPr id="0" name=""/>
        <dsp:cNvSpPr/>
      </dsp:nvSpPr>
      <dsp:spPr>
        <a:xfrm>
          <a:off x="1739057" y="752445"/>
          <a:ext cx="1485205" cy="2911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58863" y="866261"/>
          <a:ext cx="1485205" cy="2911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C112</a:t>
          </a:r>
          <a:r>
            <a:rPr lang="zh-CN" altLang="en-US" sz="1200" kern="1200">
              <a:latin typeface="仿宋" panose="02010609060101010101" pitchFamily="3" charset="-122"/>
              <a:ea typeface="仿宋" panose="02010609060101010101" pitchFamily="3" charset="-122"/>
            </a:rPr>
            <a:t>目标合理</a:t>
          </a:r>
        </a:p>
      </dsp:txBody>
      <dsp:txXfrm>
        <a:off x="1867391" y="874789"/>
        <a:ext cx="1468149" cy="274096"/>
      </dsp:txXfrm>
    </dsp:sp>
    <dsp:sp modelId="{8C91A731-9C4A-4C24-B9BF-FFBEDAFA243C}">
      <dsp:nvSpPr>
        <dsp:cNvPr id="0" name=""/>
        <dsp:cNvSpPr/>
      </dsp:nvSpPr>
      <dsp:spPr>
        <a:xfrm>
          <a:off x="3473526" y="752349"/>
          <a:ext cx="1485205" cy="30213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81093F1-81E9-45BC-9F94-28A899C4D604}">
      <dsp:nvSpPr>
        <dsp:cNvPr id="0" name=""/>
        <dsp:cNvSpPr/>
      </dsp:nvSpPr>
      <dsp:spPr>
        <a:xfrm>
          <a:off x="3593333" y="866165"/>
          <a:ext cx="1485205" cy="30213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latin typeface="仿宋" panose="02010609060101010101" pitchFamily="3" charset="-122"/>
              <a:ea typeface="仿宋" panose="02010609060101010101" pitchFamily="3" charset="-122"/>
            </a:rPr>
            <a:t>C113</a:t>
          </a:r>
          <a:r>
            <a:rPr lang="zh-CN" altLang="en-US" sz="1200" b="0" i="0" u="none" kern="1200">
              <a:latin typeface="仿宋" panose="02010609060101010101" pitchFamily="3" charset="-122"/>
              <a:ea typeface="仿宋" panose="02010609060101010101" pitchFamily="3" charset="-122"/>
            </a:rPr>
            <a:t>目标明确</a:t>
          </a:r>
          <a:endParaRPr lang="zh-CN" altLang="en-US" sz="1200" kern="1200">
            <a:latin typeface="仿宋" panose="02010609060101010101" pitchFamily="3" charset="-122"/>
            <a:ea typeface="仿宋" panose="02010609060101010101" pitchFamily="3" charset="-122"/>
          </a:endParaRPr>
        </a:p>
      </dsp:txBody>
      <dsp:txXfrm>
        <a:off x="3602182" y="875014"/>
        <a:ext cx="1467507" cy="28443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决策过程</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C121</a:t>
          </a:r>
          <a:r>
            <a:rPr lang="zh-CN" altLang="en-US" sz="1200" kern="1200">
              <a:latin typeface="仿宋" panose="02010609060101010101" pitchFamily="3" charset="-122"/>
              <a:ea typeface="仿宋" panose="02010609060101010101" pitchFamily="3" charset="-122"/>
            </a:rPr>
            <a:t>决策依据</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C122</a:t>
          </a:r>
          <a:r>
            <a:rPr lang="zh-CN" altLang="en-US" sz="1200" kern="1200">
              <a:latin typeface="仿宋" panose="02010609060101010101" pitchFamily="3" charset="-122"/>
              <a:ea typeface="仿宋" panose="02010609060101010101" pitchFamily="3" charset="-122"/>
            </a:rPr>
            <a:t>决策程序</a:t>
          </a:r>
        </a:p>
      </dsp:txBody>
      <dsp:txXfrm>
        <a:off x="2824017" y="937388"/>
        <a:ext cx="1727309" cy="34049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A2</a:t>
          </a:r>
          <a:r>
            <a:rPr lang="zh-CN" altLang="en-US" sz="1200" kern="1200">
              <a:latin typeface="仿宋" panose="02010609060101010101" pitchFamily="3" charset="-122"/>
              <a:ea typeface="仿宋" panose="02010609060101010101" pitchFamily="3" charset="-122"/>
            </a:rPr>
            <a:t>项目管理</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B22</a:t>
          </a:r>
          <a:r>
            <a:rPr lang="zh-CN" altLang="en-US" sz="1200" kern="1200">
              <a:latin typeface="仿宋" panose="02010609060101010101" pitchFamily="3" charset="-122"/>
              <a:ea typeface="仿宋" panose="02010609060101010101" pitchFamily="3" charset="-122"/>
            </a:rPr>
            <a:t>项目管控</a:t>
          </a:r>
        </a:p>
      </dsp:txBody>
      <dsp:txXfrm>
        <a:off x="2824017" y="937388"/>
        <a:ext cx="1727309" cy="34049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C317BC-662E-4485-B610-C64501598215}">
      <dsp:nvSpPr>
        <dsp:cNvPr id="0" name=""/>
        <dsp:cNvSpPr/>
      </dsp:nvSpPr>
      <dsp:spPr>
        <a:xfrm>
          <a:off x="2473066" y="360763"/>
          <a:ext cx="1766941" cy="401417"/>
        </a:xfrm>
        <a:custGeom>
          <a:avLst/>
          <a:gdLst/>
          <a:ahLst/>
          <a:cxnLst/>
          <a:rect l="0" t="0" r="0" b="0"/>
          <a:pathLst>
            <a:path>
              <a:moveTo>
                <a:pt x="0" y="0"/>
              </a:moveTo>
              <a:lnTo>
                <a:pt x="0" y="297703"/>
              </a:lnTo>
              <a:lnTo>
                <a:pt x="1766941" y="297703"/>
              </a:lnTo>
              <a:lnTo>
                <a:pt x="1766941" y="401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7346" y="360763"/>
          <a:ext cx="91440" cy="401517"/>
        </a:xfrm>
        <a:custGeom>
          <a:avLst/>
          <a:gdLst/>
          <a:ahLst/>
          <a:cxnLst/>
          <a:rect l="0" t="0" r="0" b="0"/>
          <a:pathLst>
            <a:path>
              <a:moveTo>
                <a:pt x="45720" y="0"/>
              </a:moveTo>
              <a:lnTo>
                <a:pt x="45720" y="297802"/>
              </a:lnTo>
              <a:lnTo>
                <a:pt x="108113" y="297802"/>
              </a:lnTo>
              <a:lnTo>
                <a:pt x="108113" y="4015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83273" y="360763"/>
          <a:ext cx="1689792" cy="401417"/>
        </a:xfrm>
        <a:custGeom>
          <a:avLst/>
          <a:gdLst/>
          <a:ahLst/>
          <a:cxnLst/>
          <a:rect l="0" t="0" r="0" b="0"/>
          <a:pathLst>
            <a:path>
              <a:moveTo>
                <a:pt x="1689792" y="0"/>
              </a:moveTo>
              <a:lnTo>
                <a:pt x="1689792" y="297703"/>
              </a:lnTo>
              <a:lnTo>
                <a:pt x="0" y="297703"/>
              </a:lnTo>
              <a:lnTo>
                <a:pt x="0" y="401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13286" y="30576"/>
          <a:ext cx="1119559" cy="33018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37682" y="148751"/>
          <a:ext cx="1119559" cy="33018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2047353" y="158422"/>
        <a:ext cx="1100217" cy="310844"/>
      </dsp:txXfrm>
    </dsp:sp>
    <dsp:sp modelId="{6AE71D67-12EA-44FE-8C0B-C92F33DC7343}">
      <dsp:nvSpPr>
        <dsp:cNvPr id="0" name=""/>
        <dsp:cNvSpPr/>
      </dsp:nvSpPr>
      <dsp:spPr>
        <a:xfrm>
          <a:off x="583" y="762180"/>
          <a:ext cx="1565379" cy="27870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4979" y="880356"/>
          <a:ext cx="1565379" cy="27870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资金到位</a:t>
          </a:r>
        </a:p>
      </dsp:txBody>
      <dsp:txXfrm>
        <a:off x="133142" y="888519"/>
        <a:ext cx="1549053" cy="262383"/>
      </dsp:txXfrm>
    </dsp:sp>
    <dsp:sp modelId="{A33BDEE4-F6A4-4EBB-8EF1-590C8BE92E38}">
      <dsp:nvSpPr>
        <dsp:cNvPr id="0" name=""/>
        <dsp:cNvSpPr/>
      </dsp:nvSpPr>
      <dsp:spPr>
        <a:xfrm>
          <a:off x="1804734" y="762280"/>
          <a:ext cx="1461450" cy="30230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929129" y="880456"/>
          <a:ext cx="1461450" cy="30230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资金使用</a:t>
          </a:r>
        </a:p>
      </dsp:txBody>
      <dsp:txXfrm>
        <a:off x="1937983" y="889310"/>
        <a:ext cx="1443742" cy="284596"/>
      </dsp:txXfrm>
    </dsp:sp>
    <dsp:sp modelId="{207D57D5-9114-4B86-AF6F-6E1618F037BD}">
      <dsp:nvSpPr>
        <dsp:cNvPr id="0" name=""/>
        <dsp:cNvSpPr/>
      </dsp:nvSpPr>
      <dsp:spPr>
        <a:xfrm>
          <a:off x="3524995" y="762180"/>
          <a:ext cx="1430024" cy="28515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4126538-B39B-419D-A074-09F4B33DE7CF}">
      <dsp:nvSpPr>
        <dsp:cNvPr id="0" name=""/>
        <dsp:cNvSpPr/>
      </dsp:nvSpPr>
      <dsp:spPr>
        <a:xfrm>
          <a:off x="3649391" y="880356"/>
          <a:ext cx="1430024" cy="28515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C213</a:t>
          </a:r>
          <a:r>
            <a:rPr lang="zh-CN" altLang="en-US" sz="1200" kern="1200">
              <a:latin typeface="仿宋" panose="02010609060101010101" pitchFamily="3" charset="-122"/>
              <a:ea typeface="仿宋" panose="02010609060101010101" pitchFamily="3" charset="-122"/>
            </a:rPr>
            <a:t>财务管理</a:t>
          </a:r>
        </a:p>
      </dsp:txBody>
      <dsp:txXfrm>
        <a:off x="3657743" y="888708"/>
        <a:ext cx="1413320" cy="26845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6083C5-D787-4B74-AB38-6F2265B00E6B}">
      <dsp:nvSpPr>
        <dsp:cNvPr id="0" name=""/>
        <dsp:cNvSpPr/>
      </dsp:nvSpPr>
      <dsp:spPr>
        <a:xfrm>
          <a:off x="2489549" y="397902"/>
          <a:ext cx="1961321" cy="302564"/>
        </a:xfrm>
        <a:custGeom>
          <a:avLst/>
          <a:gdLst/>
          <a:ahLst/>
          <a:cxnLst/>
          <a:rect l="0" t="0" r="0" b="0"/>
          <a:pathLst>
            <a:path>
              <a:moveTo>
                <a:pt x="0" y="0"/>
              </a:moveTo>
              <a:lnTo>
                <a:pt x="0" y="224390"/>
              </a:lnTo>
              <a:lnTo>
                <a:pt x="1961321" y="224390"/>
              </a:lnTo>
              <a:lnTo>
                <a:pt x="1961321"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8082BB-F9A0-4CB5-8F92-D0BB31200C0D}">
      <dsp:nvSpPr>
        <dsp:cNvPr id="0" name=""/>
        <dsp:cNvSpPr/>
      </dsp:nvSpPr>
      <dsp:spPr>
        <a:xfrm>
          <a:off x="2489549" y="397902"/>
          <a:ext cx="705793" cy="302564"/>
        </a:xfrm>
        <a:custGeom>
          <a:avLst/>
          <a:gdLst/>
          <a:ahLst/>
          <a:cxnLst/>
          <a:rect l="0" t="0" r="0" b="0"/>
          <a:pathLst>
            <a:path>
              <a:moveTo>
                <a:pt x="0" y="0"/>
              </a:moveTo>
              <a:lnTo>
                <a:pt x="0" y="224390"/>
              </a:lnTo>
              <a:lnTo>
                <a:pt x="705793" y="224390"/>
              </a:lnTo>
              <a:lnTo>
                <a:pt x="705793"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913743" y="397902"/>
          <a:ext cx="575805" cy="302639"/>
        </a:xfrm>
        <a:custGeom>
          <a:avLst/>
          <a:gdLst/>
          <a:ahLst/>
          <a:cxnLst/>
          <a:rect l="0" t="0" r="0" b="0"/>
          <a:pathLst>
            <a:path>
              <a:moveTo>
                <a:pt x="575805" y="0"/>
              </a:moveTo>
              <a:lnTo>
                <a:pt x="575805" y="224465"/>
              </a:lnTo>
              <a:lnTo>
                <a:pt x="0" y="224465"/>
              </a:lnTo>
              <a:lnTo>
                <a:pt x="0" y="3026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93053" y="397902"/>
          <a:ext cx="1896496" cy="302564"/>
        </a:xfrm>
        <a:custGeom>
          <a:avLst/>
          <a:gdLst/>
          <a:ahLst/>
          <a:cxnLst/>
          <a:rect l="0" t="0" r="0" b="0"/>
          <a:pathLst>
            <a:path>
              <a:moveTo>
                <a:pt x="1896496" y="0"/>
              </a:moveTo>
              <a:lnTo>
                <a:pt x="1896496" y="224390"/>
              </a:lnTo>
              <a:lnTo>
                <a:pt x="0" y="224390"/>
              </a:lnTo>
              <a:lnTo>
                <a:pt x="0" y="3025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3685" y="19684"/>
          <a:ext cx="1391728" cy="37821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7447" y="108758"/>
          <a:ext cx="1391728" cy="37821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a:t>
          </a:r>
          <a:r>
            <a:rPr lang="en-US" altLang="en-US" sz="1200" kern="1200">
              <a:latin typeface="仿宋" panose="02010609060101010101" pitchFamily="3" charset="-122"/>
              <a:ea typeface="仿宋" panose="02010609060101010101" pitchFamily="3" charset="-122"/>
            </a:rPr>
            <a:t>22</a:t>
          </a:r>
          <a:r>
            <a:rPr lang="zh-CN" altLang="en-US" sz="1200" kern="1200">
              <a:latin typeface="仿宋" panose="02010609060101010101" pitchFamily="3" charset="-122"/>
              <a:ea typeface="仿宋" panose="02010609060101010101" pitchFamily="3" charset="-122"/>
            </a:rPr>
            <a:t>项目管控</a:t>
          </a:r>
        </a:p>
      </dsp:txBody>
      <dsp:txXfrm>
        <a:off x="1898525" y="119836"/>
        <a:ext cx="1369572" cy="356061"/>
      </dsp:txXfrm>
    </dsp:sp>
    <dsp:sp modelId="{6AE71D67-12EA-44FE-8C0B-C92F33DC7343}">
      <dsp:nvSpPr>
        <dsp:cNvPr id="0" name=""/>
        <dsp:cNvSpPr/>
      </dsp:nvSpPr>
      <dsp:spPr>
        <a:xfrm>
          <a:off x="3109" y="700466"/>
          <a:ext cx="1179887" cy="42268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6871" y="789540"/>
          <a:ext cx="1179887" cy="42268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C221</a:t>
          </a:r>
          <a:r>
            <a:rPr lang="zh-CN" altLang="en-US" sz="1200" kern="1200">
              <a:latin typeface="仿宋" panose="02010609060101010101" pitchFamily="3" charset="-122"/>
              <a:ea typeface="仿宋" panose="02010609060101010101" pitchFamily="3" charset="-122"/>
            </a:rPr>
            <a:t>制度有效</a:t>
          </a:r>
        </a:p>
      </dsp:txBody>
      <dsp:txXfrm>
        <a:off x="109251" y="801920"/>
        <a:ext cx="1155127" cy="397922"/>
      </dsp:txXfrm>
    </dsp:sp>
    <dsp:sp modelId="{A33BDEE4-F6A4-4EBB-8EF1-590C8BE92E38}">
      <dsp:nvSpPr>
        <dsp:cNvPr id="0" name=""/>
        <dsp:cNvSpPr/>
      </dsp:nvSpPr>
      <dsp:spPr>
        <a:xfrm>
          <a:off x="1362967" y="700541"/>
          <a:ext cx="1101552" cy="38533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456729" y="789615"/>
          <a:ext cx="1101552" cy="38533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C222</a:t>
          </a:r>
          <a:r>
            <a:rPr lang="zh-CN" altLang="en-US" sz="1200" kern="1200">
              <a:latin typeface="仿宋" panose="02010609060101010101" pitchFamily="3" charset="-122"/>
              <a:ea typeface="仿宋" panose="02010609060101010101" pitchFamily="3" charset="-122"/>
            </a:rPr>
            <a:t>进度管理</a:t>
          </a:r>
        </a:p>
      </dsp:txBody>
      <dsp:txXfrm>
        <a:off x="1468015" y="800901"/>
        <a:ext cx="1078980" cy="362767"/>
      </dsp:txXfrm>
    </dsp:sp>
    <dsp:sp modelId="{E4B85580-6F28-4A58-8704-60C90A1AA6FB}">
      <dsp:nvSpPr>
        <dsp:cNvPr id="0" name=""/>
        <dsp:cNvSpPr/>
      </dsp:nvSpPr>
      <dsp:spPr>
        <a:xfrm>
          <a:off x="2659595" y="700466"/>
          <a:ext cx="1071493" cy="385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98EE3B-AD7D-491A-BE66-ED3A4912FFD0}">
      <dsp:nvSpPr>
        <dsp:cNvPr id="0" name=""/>
        <dsp:cNvSpPr/>
      </dsp:nvSpPr>
      <dsp:spPr>
        <a:xfrm>
          <a:off x="2753357" y="789540"/>
          <a:ext cx="1071493" cy="38548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C223</a:t>
          </a:r>
          <a:r>
            <a:rPr lang="zh-CN" altLang="en-US" sz="1200" kern="1200">
              <a:latin typeface="仿宋" panose="02010609060101010101" pitchFamily="3" charset="-122"/>
              <a:ea typeface="仿宋" panose="02010609060101010101" pitchFamily="3" charset="-122"/>
            </a:rPr>
            <a:t>质量管理</a:t>
          </a:r>
        </a:p>
      </dsp:txBody>
      <dsp:txXfrm>
        <a:off x="2764648" y="800831"/>
        <a:ext cx="1048911" cy="362907"/>
      </dsp:txXfrm>
    </dsp:sp>
    <dsp:sp modelId="{8FF15A11-E631-4D5D-A64B-B0EFEAB95525}">
      <dsp:nvSpPr>
        <dsp:cNvPr id="0" name=""/>
        <dsp:cNvSpPr/>
      </dsp:nvSpPr>
      <dsp:spPr>
        <a:xfrm>
          <a:off x="3918613" y="700466"/>
          <a:ext cx="1064515" cy="385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A1C4F78-3072-4737-95E3-6B2F7F8AF185}">
      <dsp:nvSpPr>
        <dsp:cNvPr id="0" name=""/>
        <dsp:cNvSpPr/>
      </dsp:nvSpPr>
      <dsp:spPr>
        <a:xfrm>
          <a:off x="4012374" y="789540"/>
          <a:ext cx="1064515" cy="38548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C224</a:t>
          </a:r>
          <a:r>
            <a:rPr lang="zh-CN" altLang="en-US" sz="1200" kern="1200">
              <a:latin typeface="仿宋" panose="02010609060101010101" pitchFamily="3" charset="-122"/>
              <a:ea typeface="仿宋" panose="02010609060101010101" pitchFamily="3" charset="-122"/>
            </a:rPr>
            <a:t>成本管理</a:t>
          </a:r>
        </a:p>
      </dsp:txBody>
      <dsp:txXfrm>
        <a:off x="4023665" y="800831"/>
        <a:ext cx="1041933" cy="36290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8B0215-C1A0-4A93-A84E-CF7B7CC961E7}">
      <dsp:nvSpPr>
        <dsp:cNvPr id="0" name=""/>
        <dsp:cNvSpPr/>
      </dsp:nvSpPr>
      <dsp:spPr>
        <a:xfrm>
          <a:off x="2547404" y="453226"/>
          <a:ext cx="968939" cy="469845"/>
        </a:xfrm>
        <a:custGeom>
          <a:avLst/>
          <a:gdLst/>
          <a:ahLst/>
          <a:cxnLst/>
          <a:rect l="0" t="0" r="0" b="0"/>
          <a:pathLst>
            <a:path>
              <a:moveTo>
                <a:pt x="0" y="0"/>
              </a:moveTo>
              <a:lnTo>
                <a:pt x="0" y="320186"/>
              </a:lnTo>
              <a:lnTo>
                <a:pt x="968939" y="320186"/>
              </a:lnTo>
              <a:lnTo>
                <a:pt x="968939" y="4698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C3623B-B1E4-4880-A5F5-EF1C18B6E6F7}">
      <dsp:nvSpPr>
        <dsp:cNvPr id="0" name=""/>
        <dsp:cNvSpPr/>
      </dsp:nvSpPr>
      <dsp:spPr>
        <a:xfrm>
          <a:off x="1602810" y="453226"/>
          <a:ext cx="944593" cy="469845"/>
        </a:xfrm>
        <a:custGeom>
          <a:avLst/>
          <a:gdLst/>
          <a:ahLst/>
          <a:cxnLst/>
          <a:rect l="0" t="0" r="0" b="0"/>
          <a:pathLst>
            <a:path>
              <a:moveTo>
                <a:pt x="944593" y="0"/>
              </a:moveTo>
              <a:lnTo>
                <a:pt x="944593" y="320186"/>
              </a:lnTo>
              <a:lnTo>
                <a:pt x="0" y="320186"/>
              </a:lnTo>
              <a:lnTo>
                <a:pt x="0" y="4698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A51C53-D29A-404E-BC26-EEA144FB99FD}">
      <dsp:nvSpPr>
        <dsp:cNvPr id="0" name=""/>
        <dsp:cNvSpPr/>
      </dsp:nvSpPr>
      <dsp:spPr>
        <a:xfrm>
          <a:off x="1664339" y="630"/>
          <a:ext cx="1766129" cy="45259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8B2354-815F-433F-8DFB-140F0566AE1D}">
      <dsp:nvSpPr>
        <dsp:cNvPr id="0" name=""/>
        <dsp:cNvSpPr/>
      </dsp:nvSpPr>
      <dsp:spPr>
        <a:xfrm>
          <a:off x="1843841" y="171157"/>
          <a:ext cx="1766129" cy="4525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A3</a:t>
          </a:r>
          <a:r>
            <a:rPr lang="zh-CN" altLang="en-US" sz="1200" kern="1200">
              <a:latin typeface="仿宋" panose="02010609060101010101" pitchFamily="3" charset="-122"/>
              <a:ea typeface="仿宋" panose="02010609060101010101" pitchFamily="3" charset="-122"/>
            </a:rPr>
            <a:t>项目绩效</a:t>
          </a:r>
        </a:p>
      </dsp:txBody>
      <dsp:txXfrm>
        <a:off x="1857097" y="184413"/>
        <a:ext cx="1739617" cy="426083"/>
      </dsp:txXfrm>
    </dsp:sp>
    <dsp:sp modelId="{FBC617C2-2231-4060-81B5-6EE15416E478}">
      <dsp:nvSpPr>
        <dsp:cNvPr id="0" name=""/>
        <dsp:cNvSpPr/>
      </dsp:nvSpPr>
      <dsp:spPr>
        <a:xfrm>
          <a:off x="813373" y="923072"/>
          <a:ext cx="1578875" cy="36333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A8BACE5-8DE0-4861-B694-8AAB4A73B58D}">
      <dsp:nvSpPr>
        <dsp:cNvPr id="0" name=""/>
        <dsp:cNvSpPr/>
      </dsp:nvSpPr>
      <dsp:spPr>
        <a:xfrm>
          <a:off x="992874" y="1093598"/>
          <a:ext cx="1578875" cy="36333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1003516" y="1104240"/>
        <a:ext cx="1557591" cy="342052"/>
      </dsp:txXfrm>
    </dsp:sp>
    <dsp:sp modelId="{1A5C6370-5F1A-48DD-AF33-C95397EFEE5E}">
      <dsp:nvSpPr>
        <dsp:cNvPr id="0" name=""/>
        <dsp:cNvSpPr/>
      </dsp:nvSpPr>
      <dsp:spPr>
        <a:xfrm>
          <a:off x="2751251" y="923072"/>
          <a:ext cx="1530183" cy="37262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167BC05-22F9-43CC-BC3D-17ECE145063A}">
      <dsp:nvSpPr>
        <dsp:cNvPr id="0" name=""/>
        <dsp:cNvSpPr/>
      </dsp:nvSpPr>
      <dsp:spPr>
        <a:xfrm>
          <a:off x="2930753" y="1093598"/>
          <a:ext cx="1530183" cy="37262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941667" y="1104512"/>
        <a:ext cx="1508355" cy="35079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594798" y="550610"/>
          <a:ext cx="2013750" cy="318760"/>
        </a:xfrm>
        <a:custGeom>
          <a:avLst/>
          <a:gdLst/>
          <a:ahLst/>
          <a:cxnLst/>
          <a:rect l="0" t="0" r="0" b="0"/>
          <a:pathLst>
            <a:path>
              <a:moveTo>
                <a:pt x="0" y="0"/>
              </a:moveTo>
              <a:lnTo>
                <a:pt x="0" y="236402"/>
              </a:lnTo>
              <a:lnTo>
                <a:pt x="2013750" y="236402"/>
              </a:lnTo>
              <a:lnTo>
                <a:pt x="2013750" y="3187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594798" y="550610"/>
          <a:ext cx="619800" cy="318760"/>
        </a:xfrm>
        <a:custGeom>
          <a:avLst/>
          <a:gdLst/>
          <a:ahLst/>
          <a:cxnLst/>
          <a:rect l="0" t="0" r="0" b="0"/>
          <a:pathLst>
            <a:path>
              <a:moveTo>
                <a:pt x="0" y="0"/>
              </a:moveTo>
              <a:lnTo>
                <a:pt x="0" y="236402"/>
              </a:lnTo>
              <a:lnTo>
                <a:pt x="619800" y="236402"/>
              </a:lnTo>
              <a:lnTo>
                <a:pt x="619800" y="3187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847800" y="550610"/>
          <a:ext cx="746998" cy="318839"/>
        </a:xfrm>
        <a:custGeom>
          <a:avLst/>
          <a:gdLst/>
          <a:ahLst/>
          <a:cxnLst/>
          <a:rect l="0" t="0" r="0" b="0"/>
          <a:pathLst>
            <a:path>
              <a:moveTo>
                <a:pt x="746998" y="0"/>
              </a:moveTo>
              <a:lnTo>
                <a:pt x="746998" y="236481"/>
              </a:lnTo>
              <a:lnTo>
                <a:pt x="0" y="236481"/>
              </a:lnTo>
              <a:lnTo>
                <a:pt x="0" y="3188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55746" y="550610"/>
          <a:ext cx="2039052" cy="318760"/>
        </a:xfrm>
        <a:custGeom>
          <a:avLst/>
          <a:gdLst/>
          <a:ahLst/>
          <a:cxnLst/>
          <a:rect l="0" t="0" r="0" b="0"/>
          <a:pathLst>
            <a:path>
              <a:moveTo>
                <a:pt x="2039052" y="0"/>
              </a:moveTo>
              <a:lnTo>
                <a:pt x="2039052" y="236402"/>
              </a:lnTo>
              <a:lnTo>
                <a:pt x="0" y="236402"/>
              </a:lnTo>
              <a:lnTo>
                <a:pt x="0" y="3187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35579" y="225546"/>
          <a:ext cx="1318438" cy="3250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34360" y="319388"/>
          <a:ext cx="1318438" cy="32506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2043881" y="328909"/>
        <a:ext cx="1299396" cy="306021"/>
      </dsp:txXfrm>
    </dsp:sp>
    <dsp:sp modelId="{6AE71D67-12EA-44FE-8C0B-C92F33DC7343}">
      <dsp:nvSpPr>
        <dsp:cNvPr id="0" name=""/>
        <dsp:cNvSpPr/>
      </dsp:nvSpPr>
      <dsp:spPr>
        <a:xfrm>
          <a:off x="3380" y="869371"/>
          <a:ext cx="1104733" cy="37981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02161" y="963213"/>
          <a:ext cx="1104733" cy="37981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C311</a:t>
          </a:r>
          <a:r>
            <a:rPr lang="zh-CN" altLang="en-US" sz="1200" kern="1200">
              <a:latin typeface="仿宋" panose="02010609060101010101" pitchFamily="3" charset="-122"/>
              <a:ea typeface="仿宋" panose="02010609060101010101" pitchFamily="3" charset="-122"/>
            </a:rPr>
            <a:t>产出数量</a:t>
          </a:r>
        </a:p>
      </dsp:txBody>
      <dsp:txXfrm>
        <a:off x="113285" y="974337"/>
        <a:ext cx="1082485" cy="357564"/>
      </dsp:txXfrm>
    </dsp:sp>
    <dsp:sp modelId="{A33BDEE4-F6A4-4EBB-8EF1-590C8BE92E38}">
      <dsp:nvSpPr>
        <dsp:cNvPr id="0" name=""/>
        <dsp:cNvSpPr/>
      </dsp:nvSpPr>
      <dsp:spPr>
        <a:xfrm>
          <a:off x="1297718" y="869450"/>
          <a:ext cx="1100163" cy="36060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396499" y="963292"/>
          <a:ext cx="1100163" cy="36060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C312</a:t>
          </a:r>
          <a:r>
            <a:rPr lang="zh-CN" altLang="en-US" sz="1200" kern="1200">
              <a:latin typeface="仿宋" panose="02010609060101010101" pitchFamily="3" charset="-122"/>
              <a:ea typeface="仿宋" panose="02010609060101010101" pitchFamily="3" charset="-122"/>
            </a:rPr>
            <a:t>产出质量</a:t>
          </a:r>
        </a:p>
      </dsp:txBody>
      <dsp:txXfrm>
        <a:off x="1407061" y="973854"/>
        <a:ext cx="1079039" cy="339482"/>
      </dsp:txXfrm>
    </dsp:sp>
    <dsp:sp modelId="{AAB8FCC0-5AE7-4EDC-978A-116FA6BFBCBC}">
      <dsp:nvSpPr>
        <dsp:cNvPr id="0" name=""/>
        <dsp:cNvSpPr/>
      </dsp:nvSpPr>
      <dsp:spPr>
        <a:xfrm>
          <a:off x="2603401" y="869371"/>
          <a:ext cx="1222396" cy="37608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702182" y="963213"/>
          <a:ext cx="1222396" cy="37608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C313</a:t>
          </a:r>
          <a:r>
            <a:rPr lang="zh-CN" altLang="en-US" sz="1200" kern="1200">
              <a:latin typeface="仿宋" panose="02010609060101010101" pitchFamily="3" charset="-122"/>
              <a:ea typeface="仿宋" panose="02010609060101010101" pitchFamily="3" charset="-122"/>
            </a:rPr>
            <a:t>产出成本</a:t>
          </a:r>
        </a:p>
      </dsp:txBody>
      <dsp:txXfrm>
        <a:off x="2713197" y="974228"/>
        <a:ext cx="1200366" cy="354050"/>
      </dsp:txXfrm>
    </dsp:sp>
    <dsp:sp modelId="{1CE10623-E3BA-4BEE-9D9B-CBAA8102CA24}">
      <dsp:nvSpPr>
        <dsp:cNvPr id="0" name=""/>
        <dsp:cNvSpPr/>
      </dsp:nvSpPr>
      <dsp:spPr>
        <a:xfrm>
          <a:off x="4023359" y="869371"/>
          <a:ext cx="1170379" cy="41791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4122140" y="963213"/>
          <a:ext cx="1170379" cy="41791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C314</a:t>
          </a:r>
          <a:r>
            <a:rPr lang="zh-CN" altLang="en-US" sz="1200" kern="1200">
              <a:latin typeface="仿宋" panose="02010609060101010101" pitchFamily="3" charset="-122"/>
              <a:ea typeface="仿宋" panose="02010609060101010101" pitchFamily="3" charset="-122"/>
            </a:rPr>
            <a:t>产出时效</a:t>
          </a:r>
        </a:p>
      </dsp:txBody>
      <dsp:txXfrm>
        <a:off x="4134380" y="975453"/>
        <a:ext cx="1145899" cy="39343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E5A665-0724-40C0-A419-79A636B06912}">
      <dsp:nvSpPr>
        <dsp:cNvPr id="0" name=""/>
        <dsp:cNvSpPr/>
      </dsp:nvSpPr>
      <dsp:spPr>
        <a:xfrm>
          <a:off x="2565790" y="475779"/>
          <a:ext cx="1750536" cy="427991"/>
        </a:xfrm>
        <a:custGeom>
          <a:avLst/>
          <a:gdLst/>
          <a:ahLst/>
          <a:cxnLst/>
          <a:rect l="0" t="0" r="0" b="0"/>
          <a:pathLst>
            <a:path>
              <a:moveTo>
                <a:pt x="0" y="0"/>
              </a:moveTo>
              <a:lnTo>
                <a:pt x="0" y="317410"/>
              </a:lnTo>
              <a:lnTo>
                <a:pt x="1750536" y="317410"/>
              </a:lnTo>
              <a:lnTo>
                <a:pt x="1750536" y="4279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35445" y="475779"/>
          <a:ext cx="91440" cy="428097"/>
        </a:xfrm>
        <a:custGeom>
          <a:avLst/>
          <a:gdLst/>
          <a:ahLst/>
          <a:cxnLst/>
          <a:rect l="0" t="0" r="0" b="0"/>
          <a:pathLst>
            <a:path>
              <a:moveTo>
                <a:pt x="130345" y="0"/>
              </a:moveTo>
              <a:lnTo>
                <a:pt x="130345" y="317516"/>
              </a:lnTo>
              <a:lnTo>
                <a:pt x="45720" y="317516"/>
              </a:lnTo>
              <a:lnTo>
                <a:pt x="45720" y="42809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46361" y="475779"/>
          <a:ext cx="1819429" cy="427991"/>
        </a:xfrm>
        <a:custGeom>
          <a:avLst/>
          <a:gdLst/>
          <a:ahLst/>
          <a:cxnLst/>
          <a:rect l="0" t="0" r="0" b="0"/>
          <a:pathLst>
            <a:path>
              <a:moveTo>
                <a:pt x="1819429" y="0"/>
              </a:moveTo>
              <a:lnTo>
                <a:pt x="1819429" y="317410"/>
              </a:lnTo>
              <a:lnTo>
                <a:pt x="0" y="317410"/>
              </a:lnTo>
              <a:lnTo>
                <a:pt x="0" y="4279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680675" y="39325"/>
          <a:ext cx="1770229" cy="4364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13306" y="165324"/>
          <a:ext cx="1770229" cy="4364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B32项目效果</a:t>
          </a:r>
        </a:p>
      </dsp:txBody>
      <dsp:txXfrm>
        <a:off x="1826089" y="178107"/>
        <a:ext cx="1744663" cy="410887"/>
      </dsp:txXfrm>
    </dsp:sp>
    <dsp:sp modelId="{6AE71D67-12EA-44FE-8C0B-C92F33DC7343}">
      <dsp:nvSpPr>
        <dsp:cNvPr id="0" name=""/>
        <dsp:cNvSpPr/>
      </dsp:nvSpPr>
      <dsp:spPr>
        <a:xfrm>
          <a:off x="4714" y="903770"/>
          <a:ext cx="1483294" cy="50996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37344" y="1029769"/>
          <a:ext cx="1483294" cy="50996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C321社会效益</a:t>
          </a:r>
        </a:p>
      </dsp:txBody>
      <dsp:txXfrm>
        <a:off x="152280" y="1044705"/>
        <a:ext cx="1453422" cy="480091"/>
      </dsp:txXfrm>
    </dsp:sp>
    <dsp:sp modelId="{A33BDEE4-F6A4-4EBB-8EF1-590C8BE92E38}">
      <dsp:nvSpPr>
        <dsp:cNvPr id="0" name=""/>
        <dsp:cNvSpPr/>
      </dsp:nvSpPr>
      <dsp:spPr>
        <a:xfrm>
          <a:off x="1742585" y="903877"/>
          <a:ext cx="1477158" cy="48417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75216" y="1029875"/>
          <a:ext cx="1477158" cy="48417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C32</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可持续影响</a:t>
          </a:r>
        </a:p>
      </dsp:txBody>
      <dsp:txXfrm>
        <a:off x="1889397" y="1044056"/>
        <a:ext cx="1448796" cy="455814"/>
      </dsp:txXfrm>
    </dsp:sp>
    <dsp:sp modelId="{AAB8FCC0-5AE7-4EDC-978A-116FA6BFBCBC}">
      <dsp:nvSpPr>
        <dsp:cNvPr id="0" name=""/>
        <dsp:cNvSpPr/>
      </dsp:nvSpPr>
      <dsp:spPr>
        <a:xfrm>
          <a:off x="3495688" y="903770"/>
          <a:ext cx="1641276" cy="5049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3628318" y="1029769"/>
          <a:ext cx="1641276" cy="5049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C32</a:t>
          </a:r>
          <a:r>
            <a:rPr lang="en-US" altLang="zh-CN" sz="1200" kern="1200">
              <a:latin typeface="仿宋" panose="02010609060101010101" pitchFamily="3" charset="-122"/>
              <a:ea typeface="仿宋" panose="02010609060101010101" pitchFamily="3" charset="-122"/>
            </a:rPr>
            <a:t>3</a:t>
          </a:r>
          <a:r>
            <a:rPr lang="zh-CN" altLang="en-US" sz="1200" kern="1200">
              <a:latin typeface="仿宋" panose="02010609060101010101" pitchFamily="3" charset="-122"/>
              <a:ea typeface="仿宋" panose="02010609060101010101" pitchFamily="3" charset="-122"/>
            </a:rPr>
            <a:t>服务对象满意度</a:t>
          </a:r>
        </a:p>
      </dsp:txBody>
      <dsp:txXfrm>
        <a:off x="3643108" y="1044559"/>
        <a:ext cx="1611696" cy="47537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6">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7">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4">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6">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7">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5B6179-EB8F-4515-A665-B07F8A22D3E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50</Pages>
  <Words>3702</Words>
  <Characters>21107</Characters>
  <Lines>175</Lines>
  <Paragraphs>49</Paragraphs>
  <TotalTime>0</TotalTime>
  <ScaleCrop>false</ScaleCrop>
  <LinksUpToDate>false</LinksUpToDate>
  <CharactersWithSpaces>24760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2018-01-10T02:31:00Z</dcterms:created>
  <dc:creator>C</dc:creator>
  <cp:lastModifiedBy>samsung</cp:lastModifiedBy>
  <cp:lastPrinted>2018-03-08T08:29:00Z</cp:lastPrinted>
  <dcterms:modified xsi:type="dcterms:W3CDTF">2018-03-09T09:54:33Z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