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9"/>
        <w:autoSpaceDN w:val="0"/>
        <w:spacing w:before="312"/>
        <w:jc w:val="center"/>
        <w:rPr>
          <w:rFonts w:ascii="方正小标宋简体" w:eastAsia="方正小标宋简体"/>
          <w:sz w:val="44"/>
          <w:szCs w:val="44"/>
        </w:rPr>
      </w:pPr>
      <w:r>
        <w:rPr>
          <w:rFonts w:hint="eastAsia" w:ascii="方正小标宋简体" w:eastAsia="方正小标宋简体"/>
          <w:sz w:val="44"/>
          <w:szCs w:val="44"/>
        </w:rPr>
        <w:t>忻州市财政局2021年度部门决算</w:t>
      </w:r>
    </w:p>
    <w:p/>
    <w:p>
      <w:pPr>
        <w:pStyle w:val="22"/>
        <w:jc w:val="center"/>
        <w:rPr>
          <w:color w:val="auto"/>
        </w:rPr>
      </w:pPr>
      <w:r>
        <w:rPr>
          <w:color w:val="auto"/>
          <w:lang w:val="zh-CN"/>
        </w:rPr>
        <w:t>目</w:t>
      </w:r>
      <w:r>
        <w:rPr>
          <w:rFonts w:hint="eastAsia"/>
          <w:color w:val="auto"/>
          <w:lang w:val="zh-CN"/>
        </w:rPr>
        <w:t xml:space="preserve"> </w:t>
      </w:r>
      <w:r>
        <w:rPr>
          <w:color w:val="auto"/>
          <w:lang w:val="zh-CN"/>
        </w:rPr>
        <w:t>录</w:t>
      </w:r>
    </w:p>
    <w:p>
      <w:pPr>
        <w:pStyle w:val="12"/>
        <w:tabs>
          <w:tab w:val="right" w:leader="dot" w:pos="8296"/>
        </w:tabs>
        <w:rPr>
          <w:rFonts w:ascii="Calibri" w:hAnsi="Calibri" w:eastAsia="宋体" w:cs="黑体"/>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HYPERLINK  \l "_Toc115193441" </w:instrText>
      </w:r>
      <w:r>
        <w:fldChar w:fldCharType="separate"/>
      </w:r>
      <w:r>
        <w:rPr>
          <w:rStyle w:val="18"/>
          <w:rFonts w:hint="eastAsia" w:ascii="黑体" w:hAnsi="黑体" w:eastAsia="黑体"/>
          <w:sz w:val="28"/>
          <w:szCs w:val="28"/>
        </w:rPr>
        <w:t>第一部分</w:t>
      </w:r>
      <w:r>
        <w:rPr>
          <w:rStyle w:val="18"/>
          <w:rFonts w:ascii="黑体" w:hAnsi="黑体" w:eastAsia="黑体"/>
          <w:sz w:val="28"/>
          <w:szCs w:val="28"/>
        </w:rPr>
        <w:t xml:space="preserve">  </w:t>
      </w:r>
      <w:r>
        <w:rPr>
          <w:rStyle w:val="18"/>
          <w:rFonts w:hint="eastAsia" w:ascii="黑体" w:hAnsi="黑体" w:eastAsia="黑体"/>
          <w:sz w:val="28"/>
          <w:szCs w:val="28"/>
        </w:rPr>
        <w:t>概况</w:t>
      </w:r>
      <w:r>
        <w:rPr>
          <w:sz w:val="28"/>
          <w:szCs w:val="28"/>
        </w:rPr>
        <w:tab/>
      </w:r>
      <w:r>
        <w:rPr>
          <w:rFonts w:hint="eastAsia"/>
          <w:sz w:val="28"/>
          <w:szCs w:val="28"/>
          <w:lang w:val="en-US" w:eastAsia="zh-CN"/>
        </w:rPr>
        <w:t>1</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"_Toc115193442" </w:instrText>
      </w:r>
      <w:r>
        <w:fldChar w:fldCharType="separate"/>
      </w:r>
      <w:r>
        <w:rPr>
          <w:rStyle w:val="18"/>
          <w:rFonts w:hint="eastAsia" w:ascii="楷体" w:hAnsi="楷体" w:eastAsia="楷体"/>
          <w:sz w:val="28"/>
          <w:szCs w:val="28"/>
        </w:rPr>
        <w:t>一、本部门职责</w:t>
      </w:r>
      <w:r>
        <w:rPr>
          <w:sz w:val="28"/>
          <w:szCs w:val="28"/>
        </w:rPr>
        <w:tab/>
      </w:r>
      <w:r>
        <w:rPr>
          <w:rFonts w:hint="eastAsia"/>
          <w:sz w:val="28"/>
          <w:szCs w:val="28"/>
          <w:lang w:val="en-US" w:eastAsia="zh-CN"/>
        </w:rPr>
        <w:t>1</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"_Toc115193443" </w:instrText>
      </w:r>
      <w:r>
        <w:fldChar w:fldCharType="separate"/>
      </w:r>
      <w:r>
        <w:rPr>
          <w:rStyle w:val="18"/>
          <w:rFonts w:hint="eastAsia" w:ascii="楷体" w:hAnsi="楷体" w:eastAsia="楷体"/>
          <w:sz w:val="28"/>
          <w:szCs w:val="28"/>
        </w:rPr>
        <w:t>二、机构设置情况</w:t>
      </w:r>
      <w:r>
        <w:rPr>
          <w:sz w:val="28"/>
          <w:szCs w:val="28"/>
        </w:rPr>
        <w:tab/>
      </w:r>
      <w:r>
        <w:rPr>
          <w:rFonts w:hint="eastAsia"/>
          <w:sz w:val="28"/>
          <w:szCs w:val="28"/>
          <w:lang w:val="en-US" w:eastAsia="zh-CN"/>
        </w:rPr>
        <w:t>4</w:t>
      </w:r>
      <w:r>
        <w:fldChar w:fldCharType="end"/>
      </w:r>
    </w:p>
    <w:p>
      <w:pPr>
        <w:pStyle w:val="12"/>
        <w:tabs>
          <w:tab w:val="right" w:leader="dot" w:pos="8296"/>
        </w:tabs>
        <w:rPr>
          <w:rFonts w:ascii="Calibri" w:hAnsi="Calibri" w:eastAsia="宋体" w:cs="黑体"/>
          <w:sz w:val="28"/>
          <w:szCs w:val="28"/>
        </w:rPr>
      </w:pPr>
      <w:r>
        <w:fldChar w:fldCharType="begin"/>
      </w:r>
      <w:r>
        <w:instrText xml:space="preserve">HYPERLINK  \l "_Toc115193444" </w:instrText>
      </w:r>
      <w:r>
        <w:fldChar w:fldCharType="separate"/>
      </w:r>
      <w:r>
        <w:rPr>
          <w:rStyle w:val="18"/>
          <w:rFonts w:hint="eastAsia" w:ascii="黑体" w:hAnsi="黑体" w:eastAsia="黑体"/>
          <w:sz w:val="28"/>
          <w:szCs w:val="28"/>
        </w:rPr>
        <w:t>第二部分</w:t>
      </w:r>
      <w:r>
        <w:rPr>
          <w:rStyle w:val="18"/>
          <w:rFonts w:ascii="黑体" w:hAnsi="黑体" w:eastAsia="黑体"/>
          <w:sz w:val="28"/>
          <w:szCs w:val="28"/>
        </w:rPr>
        <w:t xml:space="preserve">  2021</w:t>
      </w:r>
      <w:r>
        <w:rPr>
          <w:rStyle w:val="18"/>
          <w:rFonts w:hint="eastAsia" w:ascii="黑体" w:hAnsi="黑体" w:eastAsia="黑体"/>
          <w:sz w:val="28"/>
          <w:szCs w:val="28"/>
        </w:rPr>
        <w:t>年度部门决算报表</w:t>
      </w:r>
      <w:r>
        <w:rPr>
          <w:sz w:val="28"/>
          <w:szCs w:val="28"/>
        </w:rPr>
        <w:tab/>
      </w:r>
      <w:r>
        <w:rPr>
          <w:rFonts w:hint="eastAsia"/>
          <w:sz w:val="28"/>
          <w:szCs w:val="28"/>
          <w:lang w:val="en-US" w:eastAsia="zh-CN"/>
        </w:rPr>
        <w:t>5</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"_Toc115193445" </w:instrText>
      </w:r>
      <w:r>
        <w:fldChar w:fldCharType="separate"/>
      </w:r>
      <w:r>
        <w:rPr>
          <w:rStyle w:val="18"/>
          <w:rFonts w:hint="eastAsia" w:ascii="楷体" w:hAnsi="楷体" w:eastAsia="楷体"/>
          <w:sz w:val="28"/>
          <w:szCs w:val="28"/>
        </w:rPr>
        <w:t>一、收入支出决算总表</w:t>
      </w:r>
      <w:r>
        <w:rPr>
          <w:sz w:val="28"/>
          <w:szCs w:val="28"/>
        </w:rPr>
        <w:tab/>
      </w:r>
      <w:r>
        <w:rPr>
          <w:rFonts w:hint="eastAsia"/>
          <w:sz w:val="28"/>
          <w:szCs w:val="28"/>
          <w:lang w:val="en-US" w:eastAsia="zh-CN"/>
        </w:rPr>
        <w:t>5</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"_Toc115193446" </w:instrText>
      </w:r>
      <w:r>
        <w:fldChar w:fldCharType="separate"/>
      </w:r>
      <w:r>
        <w:rPr>
          <w:rStyle w:val="18"/>
          <w:rFonts w:hint="eastAsia" w:ascii="楷体" w:hAnsi="楷体" w:eastAsia="楷体"/>
          <w:sz w:val="28"/>
          <w:szCs w:val="28"/>
        </w:rPr>
        <w:t>二、收入决算表</w:t>
      </w:r>
      <w:r>
        <w:rPr>
          <w:sz w:val="28"/>
          <w:szCs w:val="28"/>
        </w:rPr>
        <w:tab/>
      </w:r>
      <w:r>
        <w:rPr>
          <w:rFonts w:hint="eastAsia"/>
          <w:sz w:val="28"/>
          <w:szCs w:val="28"/>
          <w:lang w:val="en-US" w:eastAsia="zh-CN"/>
        </w:rPr>
        <w:t>5</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"_Toc115193447" </w:instrText>
      </w:r>
      <w:r>
        <w:fldChar w:fldCharType="separate"/>
      </w:r>
      <w:r>
        <w:rPr>
          <w:rStyle w:val="18"/>
          <w:rFonts w:hint="eastAsia" w:ascii="楷体" w:hAnsi="楷体" w:eastAsia="楷体"/>
          <w:sz w:val="28"/>
          <w:szCs w:val="28"/>
        </w:rPr>
        <w:t>三、支出决算表</w:t>
      </w:r>
      <w:r>
        <w:rPr>
          <w:sz w:val="28"/>
          <w:szCs w:val="28"/>
        </w:rPr>
        <w:tab/>
      </w:r>
      <w:r>
        <w:rPr>
          <w:rFonts w:hint="eastAsia"/>
          <w:sz w:val="28"/>
          <w:szCs w:val="28"/>
          <w:lang w:val="en-US" w:eastAsia="zh-CN"/>
        </w:rPr>
        <w:t>5</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"_Toc115193448" </w:instrText>
      </w:r>
      <w:r>
        <w:fldChar w:fldCharType="separate"/>
      </w:r>
      <w:r>
        <w:rPr>
          <w:rStyle w:val="18"/>
          <w:rFonts w:hint="eastAsia" w:ascii="楷体" w:hAnsi="楷体" w:eastAsia="楷体"/>
          <w:sz w:val="28"/>
          <w:szCs w:val="28"/>
        </w:rPr>
        <w:t>四、财政拨款收入支出决算总表</w:t>
      </w:r>
      <w:r>
        <w:rPr>
          <w:sz w:val="28"/>
          <w:szCs w:val="28"/>
        </w:rPr>
        <w:tab/>
      </w:r>
      <w:r>
        <w:rPr>
          <w:rFonts w:hint="eastAsia"/>
          <w:sz w:val="28"/>
          <w:szCs w:val="28"/>
          <w:lang w:val="en-US" w:eastAsia="zh-CN"/>
        </w:rPr>
        <w:t>5</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"_Toc115193449" </w:instrText>
      </w:r>
      <w:r>
        <w:fldChar w:fldCharType="separate"/>
      </w:r>
      <w:r>
        <w:rPr>
          <w:rStyle w:val="18"/>
          <w:rFonts w:hint="eastAsia" w:ascii="楷体" w:hAnsi="楷体" w:eastAsia="楷体"/>
          <w:sz w:val="28"/>
          <w:szCs w:val="28"/>
        </w:rPr>
        <w:t>五、一般公共预算财政拨款支出决算表（一）</w:t>
      </w:r>
      <w:r>
        <w:rPr>
          <w:sz w:val="28"/>
          <w:szCs w:val="28"/>
        </w:rPr>
        <w:tab/>
      </w:r>
      <w:r>
        <w:rPr>
          <w:rFonts w:hint="eastAsia"/>
          <w:sz w:val="28"/>
          <w:szCs w:val="28"/>
          <w:lang w:val="en-US" w:eastAsia="zh-CN"/>
        </w:rPr>
        <w:t>5</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"_Toc115193450" </w:instrText>
      </w:r>
      <w:r>
        <w:fldChar w:fldCharType="separate"/>
      </w:r>
      <w:r>
        <w:rPr>
          <w:rStyle w:val="18"/>
          <w:rFonts w:hint="eastAsia" w:ascii="楷体" w:hAnsi="楷体" w:eastAsia="楷体"/>
          <w:sz w:val="28"/>
          <w:szCs w:val="28"/>
        </w:rPr>
        <w:t>六、一般公共预算财政拨款支出决算表（二）</w:t>
      </w:r>
      <w:r>
        <w:rPr>
          <w:sz w:val="28"/>
          <w:szCs w:val="28"/>
        </w:rPr>
        <w:tab/>
      </w:r>
      <w:r>
        <w:rPr>
          <w:rFonts w:hint="eastAsia"/>
          <w:sz w:val="28"/>
          <w:szCs w:val="28"/>
          <w:lang w:val="en-US" w:eastAsia="zh-CN"/>
        </w:rPr>
        <w:t>5</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"_Toc115193451" </w:instrText>
      </w:r>
      <w:r>
        <w:fldChar w:fldCharType="separate"/>
      </w:r>
      <w:r>
        <w:rPr>
          <w:rStyle w:val="18"/>
          <w:rFonts w:hint="eastAsia" w:ascii="楷体" w:hAnsi="楷体" w:eastAsia="楷体"/>
          <w:sz w:val="28"/>
          <w:szCs w:val="28"/>
        </w:rPr>
        <w:t>七、一般公共预算财政拨款“三公”经费支出决算表</w:t>
      </w:r>
      <w:r>
        <w:rPr>
          <w:sz w:val="28"/>
          <w:szCs w:val="28"/>
        </w:rPr>
        <w:tab/>
      </w:r>
      <w:r>
        <w:rPr>
          <w:rFonts w:hint="eastAsia"/>
          <w:sz w:val="28"/>
          <w:szCs w:val="28"/>
          <w:lang w:val="en-US" w:eastAsia="zh-CN"/>
        </w:rPr>
        <w:t>5</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"_Toc115193452" </w:instrText>
      </w:r>
      <w:r>
        <w:fldChar w:fldCharType="separate"/>
      </w:r>
      <w:r>
        <w:rPr>
          <w:rStyle w:val="18"/>
          <w:rFonts w:hint="eastAsia" w:ascii="楷体" w:hAnsi="楷体" w:eastAsia="楷体"/>
          <w:sz w:val="28"/>
          <w:szCs w:val="28"/>
        </w:rPr>
        <w:t>八、政府性基金预算财政拨款收入支出决算表</w:t>
      </w:r>
      <w:r>
        <w:rPr>
          <w:sz w:val="28"/>
          <w:szCs w:val="28"/>
        </w:rPr>
        <w:tab/>
      </w:r>
      <w:r>
        <w:rPr>
          <w:rFonts w:hint="eastAsia"/>
          <w:sz w:val="28"/>
          <w:szCs w:val="28"/>
          <w:lang w:val="en-US" w:eastAsia="zh-CN"/>
        </w:rPr>
        <w:t>5</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"_Toc115193453" </w:instrText>
      </w:r>
      <w:r>
        <w:fldChar w:fldCharType="separate"/>
      </w:r>
      <w:r>
        <w:rPr>
          <w:rStyle w:val="18"/>
          <w:rFonts w:hint="eastAsia" w:ascii="楷体" w:hAnsi="楷体" w:eastAsia="楷体"/>
          <w:sz w:val="28"/>
          <w:szCs w:val="28"/>
        </w:rPr>
        <w:t>九、国有资本经营预算财政拨款支出决算表</w:t>
      </w:r>
      <w:r>
        <w:rPr>
          <w:sz w:val="28"/>
          <w:szCs w:val="28"/>
        </w:rPr>
        <w:tab/>
      </w:r>
      <w:r>
        <w:rPr>
          <w:rFonts w:hint="eastAsia"/>
          <w:sz w:val="28"/>
          <w:szCs w:val="28"/>
          <w:lang w:val="en-US" w:eastAsia="zh-CN"/>
        </w:rPr>
        <w:t>5</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"_Toc115193454" </w:instrText>
      </w:r>
      <w:r>
        <w:fldChar w:fldCharType="separate"/>
      </w:r>
      <w:r>
        <w:rPr>
          <w:rStyle w:val="18"/>
          <w:rFonts w:hint="eastAsia" w:ascii="楷体" w:hAnsi="楷体" w:eastAsia="楷体"/>
          <w:sz w:val="28"/>
          <w:szCs w:val="28"/>
        </w:rPr>
        <w:t>十、部门决算公开相关信息统计表</w:t>
      </w:r>
      <w:r>
        <w:rPr>
          <w:sz w:val="28"/>
          <w:szCs w:val="28"/>
        </w:rPr>
        <w:tab/>
      </w:r>
      <w:r>
        <w:rPr>
          <w:rFonts w:hint="eastAsia"/>
          <w:sz w:val="28"/>
          <w:szCs w:val="28"/>
          <w:lang w:val="en-US" w:eastAsia="zh-CN"/>
        </w:rPr>
        <w:t>5</w:t>
      </w:r>
      <w:r>
        <w:fldChar w:fldCharType="end"/>
      </w:r>
    </w:p>
    <w:p>
      <w:pPr>
        <w:pStyle w:val="12"/>
        <w:tabs>
          <w:tab w:val="right" w:leader="dot" w:pos="8296"/>
        </w:tabs>
        <w:rPr>
          <w:rFonts w:ascii="Calibri" w:hAnsi="Calibri" w:eastAsia="宋体" w:cs="黑体"/>
          <w:sz w:val="28"/>
          <w:szCs w:val="28"/>
        </w:rPr>
      </w:pPr>
      <w:r>
        <w:fldChar w:fldCharType="begin"/>
      </w:r>
      <w:r>
        <w:instrText xml:space="preserve">HYPERLINK  \l "_Toc115193455" </w:instrText>
      </w:r>
      <w:r>
        <w:fldChar w:fldCharType="separate"/>
      </w:r>
      <w:r>
        <w:rPr>
          <w:rStyle w:val="18"/>
          <w:rFonts w:hint="eastAsia" w:ascii="黑体" w:hAnsi="黑体" w:eastAsia="黑体"/>
          <w:sz w:val="28"/>
          <w:szCs w:val="28"/>
        </w:rPr>
        <w:t>第三部分</w:t>
      </w:r>
      <w:r>
        <w:rPr>
          <w:rStyle w:val="18"/>
          <w:rFonts w:ascii="黑体" w:hAnsi="黑体" w:eastAsia="黑体"/>
          <w:sz w:val="28"/>
          <w:szCs w:val="28"/>
        </w:rPr>
        <w:t xml:space="preserve">  2021</w:t>
      </w:r>
      <w:r>
        <w:rPr>
          <w:rStyle w:val="18"/>
          <w:rFonts w:hint="eastAsia" w:ascii="黑体" w:hAnsi="黑体" w:eastAsia="黑体"/>
          <w:sz w:val="28"/>
          <w:szCs w:val="28"/>
        </w:rPr>
        <w:t>年度部门决算情况说明</w:t>
      </w:r>
      <w:r>
        <w:rPr>
          <w:sz w:val="28"/>
          <w:szCs w:val="28"/>
        </w:rPr>
        <w:tab/>
      </w:r>
      <w:r>
        <w:rPr>
          <w:rFonts w:hint="eastAsia"/>
          <w:sz w:val="28"/>
          <w:szCs w:val="28"/>
          <w:lang w:val="en-US" w:eastAsia="zh-CN"/>
        </w:rPr>
        <w:t>6</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"_Toc115193456" </w:instrText>
      </w:r>
      <w:r>
        <w:fldChar w:fldCharType="separate"/>
      </w:r>
      <w:r>
        <w:rPr>
          <w:rStyle w:val="18"/>
          <w:rFonts w:hint="eastAsia" w:ascii="楷体" w:hAnsi="楷体" w:eastAsia="楷体"/>
          <w:sz w:val="28"/>
          <w:szCs w:val="28"/>
        </w:rPr>
        <w:t>一、收入支出决算总体情况说明</w:t>
      </w:r>
      <w:r>
        <w:rPr>
          <w:sz w:val="28"/>
          <w:szCs w:val="28"/>
        </w:rPr>
        <w:tab/>
      </w:r>
      <w:r>
        <w:rPr>
          <w:rFonts w:hint="eastAsia"/>
          <w:sz w:val="28"/>
          <w:szCs w:val="28"/>
          <w:lang w:val="en-US" w:eastAsia="zh-CN"/>
        </w:rPr>
        <w:t>6</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"_Toc115193457" </w:instrText>
      </w:r>
      <w:r>
        <w:fldChar w:fldCharType="separate"/>
      </w:r>
      <w:r>
        <w:rPr>
          <w:rStyle w:val="18"/>
          <w:rFonts w:hint="eastAsia" w:ascii="楷体" w:hAnsi="楷体" w:eastAsia="楷体"/>
          <w:sz w:val="28"/>
          <w:szCs w:val="28"/>
        </w:rPr>
        <w:t>二、收入决算情况说明</w:t>
      </w:r>
      <w:r>
        <w:rPr>
          <w:sz w:val="28"/>
          <w:szCs w:val="28"/>
        </w:rPr>
        <w:tab/>
      </w:r>
      <w:r>
        <w:rPr>
          <w:rFonts w:hint="eastAsia"/>
          <w:sz w:val="28"/>
          <w:szCs w:val="28"/>
          <w:lang w:val="en-US" w:eastAsia="zh-CN"/>
        </w:rPr>
        <w:t>6</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"_Toc115193458" </w:instrText>
      </w:r>
      <w:r>
        <w:fldChar w:fldCharType="separate"/>
      </w:r>
      <w:r>
        <w:rPr>
          <w:rStyle w:val="18"/>
          <w:rFonts w:hint="eastAsia" w:ascii="楷体" w:hAnsi="楷体" w:eastAsia="楷体"/>
          <w:sz w:val="28"/>
          <w:szCs w:val="28"/>
        </w:rPr>
        <w:t>三、支出决算情况说明</w:t>
      </w:r>
      <w:r>
        <w:rPr>
          <w:sz w:val="28"/>
          <w:szCs w:val="28"/>
        </w:rPr>
        <w:tab/>
      </w:r>
      <w:r>
        <w:rPr>
          <w:rFonts w:hint="eastAsia"/>
          <w:sz w:val="28"/>
          <w:szCs w:val="28"/>
          <w:lang w:val="en-US" w:eastAsia="zh-CN"/>
        </w:rPr>
        <w:t>6</w:t>
      </w:r>
      <w:r>
        <w:fldChar w:fldCharType="end"/>
      </w:r>
    </w:p>
    <w:p>
      <w:pPr>
        <w:pStyle w:val="15"/>
        <w:tabs>
          <w:tab w:val="right" w:leader="dot" w:pos="8296"/>
        </w:tabs>
        <w:sectPr>
          <w:footerReference r:id="rId4" w:type="default"/>
          <w:pgSz w:w="11906" w:h="16838"/>
          <w:pgMar w:top="1440" w:right="1800" w:bottom="1440" w:left="1800" w:header="851" w:footer="992" w:gutter="0"/>
          <w:pgNumType w:start="1"/>
          <w:cols w:space="720" w:num="1"/>
          <w:docGrid w:type="lines" w:linePitch="312"/>
        </w:sectPr>
      </w:pPr>
    </w:p>
    <w:p>
      <w:pPr>
        <w:pStyle w:val="15"/>
        <w:tabs>
          <w:tab w:val="right" w:leader="dot" w:pos="8296"/>
        </w:tabs>
        <w:rPr>
          <w:rFonts w:ascii="Calibri" w:hAnsi="Calibri" w:eastAsia="宋体" w:cs="黑体"/>
          <w:sz w:val="28"/>
          <w:szCs w:val="28"/>
        </w:rPr>
      </w:pPr>
      <w:r>
        <w:fldChar w:fldCharType="begin"/>
      </w:r>
      <w:r>
        <w:instrText xml:space="preserve">HYPERLINK  \l "_Toc115193459" </w:instrText>
      </w:r>
      <w:r>
        <w:fldChar w:fldCharType="separate"/>
      </w:r>
      <w:r>
        <w:rPr>
          <w:rStyle w:val="18"/>
          <w:rFonts w:hint="eastAsia" w:ascii="楷体" w:hAnsi="楷体" w:eastAsia="楷体"/>
          <w:sz w:val="28"/>
          <w:szCs w:val="28"/>
        </w:rPr>
        <w:t>四、财政拨款收入支出决算总体情况说明</w:t>
      </w:r>
      <w:r>
        <w:rPr>
          <w:sz w:val="28"/>
          <w:szCs w:val="28"/>
        </w:rPr>
        <w:tab/>
      </w:r>
      <w:r>
        <w:rPr>
          <w:rFonts w:hint="eastAsia"/>
          <w:sz w:val="28"/>
          <w:szCs w:val="28"/>
          <w:lang w:val="en-US" w:eastAsia="zh-CN"/>
        </w:rPr>
        <w:t>7</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"_Toc115193460" </w:instrText>
      </w:r>
      <w:r>
        <w:fldChar w:fldCharType="separate"/>
      </w:r>
      <w:r>
        <w:rPr>
          <w:rStyle w:val="18"/>
          <w:rFonts w:hint="eastAsia" w:ascii="楷体" w:hAnsi="楷体" w:eastAsia="楷体"/>
          <w:sz w:val="28"/>
          <w:szCs w:val="28"/>
        </w:rPr>
        <w:t>五、一般公共预算财政拨款支出决算情况说明</w:t>
      </w:r>
      <w:r>
        <w:rPr>
          <w:sz w:val="28"/>
          <w:szCs w:val="28"/>
        </w:rPr>
        <w:tab/>
      </w:r>
      <w:r>
        <w:rPr>
          <w:rFonts w:hint="eastAsia"/>
          <w:sz w:val="28"/>
          <w:szCs w:val="28"/>
          <w:lang w:val="en-US" w:eastAsia="zh-CN"/>
        </w:rPr>
        <w:t>7</w:t>
      </w:r>
      <w:r>
        <w:fldChar w:fldCharType="end"/>
      </w:r>
    </w:p>
    <w:p>
      <w:pPr>
        <w:pStyle w:val="8"/>
        <w:tabs>
          <w:tab w:val="right" w:leader="dot" w:pos="8296"/>
        </w:tabs>
        <w:rPr>
          <w:rFonts w:ascii="Calibri" w:hAnsi="Calibri" w:eastAsia="宋体" w:cs="黑体"/>
          <w:sz w:val="28"/>
          <w:szCs w:val="28"/>
        </w:rPr>
      </w:pPr>
      <w:r>
        <w:fldChar w:fldCharType="begin"/>
      </w:r>
      <w:r>
        <w:instrText xml:space="preserve">HYPERLINK  \l "_Toc115193461" </w:instrText>
      </w:r>
      <w:r>
        <w:fldChar w:fldCharType="separate"/>
      </w:r>
      <w:r>
        <w:rPr>
          <w:rStyle w:val="18"/>
          <w:rFonts w:hint="eastAsia" w:ascii="楷体" w:hAnsi="楷体" w:eastAsia="楷体"/>
          <w:sz w:val="28"/>
          <w:szCs w:val="28"/>
        </w:rPr>
        <w:t>（一）财政拨款支出决算总体情况</w:t>
      </w:r>
      <w:r>
        <w:rPr>
          <w:sz w:val="28"/>
          <w:szCs w:val="28"/>
        </w:rPr>
        <w:tab/>
      </w:r>
      <w:r>
        <w:rPr>
          <w:rFonts w:hint="eastAsia"/>
          <w:sz w:val="28"/>
          <w:szCs w:val="28"/>
          <w:lang w:val="en-US" w:eastAsia="zh-CN"/>
        </w:rPr>
        <w:t>7</w:t>
      </w:r>
      <w:r>
        <w:fldChar w:fldCharType="end"/>
      </w:r>
    </w:p>
    <w:p>
      <w:pPr>
        <w:pStyle w:val="8"/>
        <w:tabs>
          <w:tab w:val="right" w:leader="dot" w:pos="8296"/>
        </w:tabs>
        <w:rPr>
          <w:rFonts w:ascii="Calibri" w:hAnsi="Calibri" w:eastAsia="宋体" w:cs="黑体"/>
          <w:sz w:val="28"/>
          <w:szCs w:val="28"/>
        </w:rPr>
      </w:pPr>
      <w:r>
        <w:fldChar w:fldCharType="begin"/>
      </w:r>
      <w:r>
        <w:instrText xml:space="preserve">HYPERLINK  \l "_Toc115193462" </w:instrText>
      </w:r>
      <w:r>
        <w:fldChar w:fldCharType="separate"/>
      </w:r>
      <w:r>
        <w:rPr>
          <w:rStyle w:val="18"/>
          <w:rFonts w:hint="eastAsia" w:ascii="楷体" w:hAnsi="楷体" w:eastAsia="楷体"/>
          <w:sz w:val="28"/>
          <w:szCs w:val="28"/>
        </w:rPr>
        <w:t>（二）财政拨款支出决算结构情况</w:t>
      </w:r>
      <w:r>
        <w:rPr>
          <w:sz w:val="28"/>
          <w:szCs w:val="28"/>
        </w:rPr>
        <w:tab/>
      </w:r>
      <w:r>
        <w:rPr>
          <w:rFonts w:hint="eastAsia"/>
          <w:sz w:val="28"/>
          <w:szCs w:val="28"/>
          <w:lang w:val="en-US" w:eastAsia="zh-CN"/>
        </w:rPr>
        <w:t>7</w:t>
      </w:r>
      <w:r>
        <w:fldChar w:fldCharType="end"/>
      </w:r>
    </w:p>
    <w:p>
      <w:pPr>
        <w:pStyle w:val="8"/>
        <w:tabs>
          <w:tab w:val="right" w:leader="dot" w:pos="8296"/>
        </w:tabs>
        <w:rPr>
          <w:rFonts w:ascii="Calibri" w:hAnsi="Calibri" w:eastAsia="宋体" w:cs="黑体"/>
          <w:sz w:val="28"/>
          <w:szCs w:val="28"/>
        </w:rPr>
      </w:pPr>
      <w:r>
        <w:fldChar w:fldCharType="begin"/>
      </w:r>
      <w:r>
        <w:instrText xml:space="preserve">HYPERLINK  \l "_Toc115193463" </w:instrText>
      </w:r>
      <w:r>
        <w:fldChar w:fldCharType="separate"/>
      </w:r>
      <w:r>
        <w:rPr>
          <w:rStyle w:val="18"/>
          <w:rFonts w:hint="eastAsia" w:ascii="楷体" w:hAnsi="楷体" w:eastAsia="楷体"/>
          <w:sz w:val="28"/>
          <w:szCs w:val="28"/>
        </w:rPr>
        <w:t>（三）财政拨款支出决算具体情况</w:t>
      </w:r>
      <w:r>
        <w:rPr>
          <w:sz w:val="28"/>
          <w:szCs w:val="28"/>
        </w:rPr>
        <w:tab/>
      </w:r>
      <w:r>
        <w:rPr>
          <w:rFonts w:hint="eastAsia"/>
          <w:sz w:val="28"/>
          <w:szCs w:val="28"/>
          <w:lang w:val="en-US" w:eastAsia="zh-CN"/>
        </w:rPr>
        <w:t>8</w:t>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"_Toc115193464" </w:instrText>
      </w:r>
      <w:r>
        <w:fldChar w:fldCharType="separate"/>
      </w:r>
      <w:r>
        <w:rPr>
          <w:rStyle w:val="18"/>
          <w:rFonts w:hint="eastAsia" w:ascii="楷体" w:hAnsi="楷体" w:eastAsia="楷体"/>
          <w:sz w:val="28"/>
          <w:szCs w:val="28"/>
        </w:rPr>
        <w:t>六、一般公共预算财政拨款基本支出决算情况说明</w:t>
      </w:r>
      <w:r>
        <w:rPr>
          <w:sz w:val="28"/>
          <w:szCs w:val="28"/>
        </w:rPr>
        <w:tab/>
      </w:r>
      <w:r>
        <w:rPr>
          <w:sz w:val="28"/>
          <w:szCs w:val="28"/>
        </w:rPr>
        <w:fldChar w:fldCharType="begin"/>
      </w:r>
      <w:r>
        <w:rPr>
          <w:sz w:val="28"/>
          <w:szCs w:val="28"/>
        </w:rPr>
        <w:instrText xml:space="preserve"> PAGEREF _Toc115193464 \h </w:instrText>
      </w:r>
      <w:r>
        <w:rPr>
          <w:sz w:val="28"/>
          <w:szCs w:val="28"/>
        </w:rPr>
        <w:fldChar w:fldCharType="separate"/>
      </w:r>
      <w:r>
        <w:rPr>
          <w:sz w:val="28"/>
          <w:szCs w:val="28"/>
        </w:rPr>
        <w:t>1</w:t>
      </w:r>
      <w:r>
        <w:rPr>
          <w:rFonts w:hint="eastAsia"/>
          <w:sz w:val="28"/>
          <w:szCs w:val="28"/>
          <w:lang w:val="en-US" w:eastAsia="zh-CN"/>
        </w:rPr>
        <w:t>0</w:t>
      </w:r>
      <w:r>
        <w:rPr>
          <w:sz w:val="28"/>
          <w:szCs w:val="28"/>
        </w:rPr>
        <w:fldChar w:fldCharType="end"/>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"_Toc115193465" </w:instrText>
      </w:r>
      <w:r>
        <w:fldChar w:fldCharType="separate"/>
      </w:r>
      <w:r>
        <w:rPr>
          <w:rStyle w:val="18"/>
          <w:rFonts w:hint="eastAsia" w:ascii="楷体" w:hAnsi="楷体" w:eastAsia="楷体"/>
          <w:sz w:val="28"/>
          <w:szCs w:val="28"/>
        </w:rPr>
        <w:t>七、一般公共预算财政拨款“三公”经费支出决算情况</w:t>
      </w:r>
      <w:r>
        <w:rPr>
          <w:rStyle w:val="18"/>
          <w:rFonts w:hint="eastAsia" w:ascii="楷体" w:hAnsi="楷体" w:eastAsia="楷体" w:cs="黑体"/>
          <w:sz w:val="28"/>
          <w:szCs w:val="28"/>
        </w:rPr>
        <w:t>说明</w:t>
      </w:r>
      <w:r>
        <w:rPr>
          <w:sz w:val="28"/>
          <w:szCs w:val="28"/>
        </w:rPr>
        <w:tab/>
      </w:r>
      <w:r>
        <w:rPr>
          <w:sz w:val="28"/>
          <w:szCs w:val="28"/>
        </w:rPr>
        <w:fldChar w:fldCharType="begin"/>
      </w:r>
      <w:r>
        <w:rPr>
          <w:sz w:val="28"/>
          <w:szCs w:val="28"/>
        </w:rPr>
        <w:instrText xml:space="preserve"> PAGEREF _Toc115193465 \h </w:instrText>
      </w:r>
      <w:r>
        <w:rPr>
          <w:sz w:val="28"/>
          <w:szCs w:val="28"/>
        </w:rPr>
        <w:fldChar w:fldCharType="separate"/>
      </w:r>
      <w:r>
        <w:rPr>
          <w:sz w:val="28"/>
          <w:szCs w:val="28"/>
        </w:rPr>
        <w:t>1</w:t>
      </w:r>
      <w:r>
        <w:rPr>
          <w:rFonts w:hint="eastAsia"/>
          <w:sz w:val="28"/>
          <w:szCs w:val="28"/>
          <w:lang w:val="en-US" w:eastAsia="zh-CN"/>
        </w:rPr>
        <w:t>1</w:t>
      </w:r>
      <w:r>
        <w:rPr>
          <w:sz w:val="28"/>
          <w:szCs w:val="28"/>
        </w:rPr>
        <w:fldChar w:fldCharType="end"/>
      </w:r>
      <w:r>
        <w:fldChar w:fldCharType="end"/>
      </w:r>
    </w:p>
    <w:p>
      <w:pPr>
        <w:pStyle w:val="8"/>
        <w:tabs>
          <w:tab w:val="right" w:leader="dot" w:pos="8296"/>
        </w:tabs>
        <w:rPr>
          <w:rFonts w:ascii="Calibri" w:hAnsi="Calibri" w:eastAsia="宋体" w:cs="黑体"/>
          <w:sz w:val="28"/>
          <w:szCs w:val="28"/>
        </w:rPr>
      </w:pPr>
      <w:r>
        <w:fldChar w:fldCharType="begin"/>
      </w:r>
      <w:r>
        <w:instrText xml:space="preserve">HYPERLINK  \l "_Toc115193466" </w:instrText>
      </w:r>
      <w:r>
        <w:fldChar w:fldCharType="separate"/>
      </w:r>
      <w:r>
        <w:rPr>
          <w:rStyle w:val="18"/>
          <w:rFonts w:hint="eastAsia" w:ascii="楷体" w:hAnsi="楷体" w:eastAsia="楷体"/>
          <w:sz w:val="28"/>
          <w:szCs w:val="28"/>
        </w:rPr>
        <w:t>（一）“三公”经费财政拨款支出决算总体情况说明</w:t>
      </w:r>
      <w:r>
        <w:rPr>
          <w:sz w:val="28"/>
          <w:szCs w:val="28"/>
        </w:rPr>
        <w:tab/>
      </w:r>
      <w:r>
        <w:rPr>
          <w:sz w:val="28"/>
          <w:szCs w:val="28"/>
        </w:rPr>
        <w:fldChar w:fldCharType="begin"/>
      </w:r>
      <w:r>
        <w:rPr>
          <w:sz w:val="28"/>
          <w:szCs w:val="28"/>
        </w:rPr>
        <w:instrText xml:space="preserve"> PAGEREF _Toc115193466 \h </w:instrText>
      </w:r>
      <w:r>
        <w:rPr>
          <w:sz w:val="28"/>
          <w:szCs w:val="28"/>
        </w:rPr>
        <w:fldChar w:fldCharType="separate"/>
      </w:r>
      <w:r>
        <w:rPr>
          <w:sz w:val="28"/>
          <w:szCs w:val="28"/>
        </w:rPr>
        <w:t>1</w:t>
      </w:r>
      <w:r>
        <w:rPr>
          <w:rFonts w:hint="eastAsia"/>
          <w:sz w:val="28"/>
          <w:szCs w:val="28"/>
          <w:lang w:val="en-US" w:eastAsia="zh-CN"/>
        </w:rPr>
        <w:t>1</w:t>
      </w:r>
      <w:r>
        <w:rPr>
          <w:sz w:val="28"/>
          <w:szCs w:val="28"/>
        </w:rPr>
        <w:fldChar w:fldCharType="end"/>
      </w:r>
      <w:r>
        <w:fldChar w:fldCharType="end"/>
      </w:r>
    </w:p>
    <w:p>
      <w:pPr>
        <w:pStyle w:val="8"/>
        <w:tabs>
          <w:tab w:val="right" w:leader="dot" w:pos="8296"/>
        </w:tabs>
        <w:rPr>
          <w:rFonts w:ascii="Calibri" w:hAnsi="Calibri" w:eastAsia="宋体" w:cs="黑体"/>
          <w:sz w:val="28"/>
          <w:szCs w:val="28"/>
        </w:rPr>
      </w:pPr>
      <w:r>
        <w:fldChar w:fldCharType="begin"/>
      </w:r>
      <w:r>
        <w:instrText xml:space="preserve">HYPERLINK  \l "_Toc115193467" </w:instrText>
      </w:r>
      <w:r>
        <w:fldChar w:fldCharType="separate"/>
      </w:r>
      <w:r>
        <w:rPr>
          <w:rStyle w:val="18"/>
          <w:rFonts w:hint="eastAsia" w:ascii="楷体" w:hAnsi="楷体" w:eastAsia="楷体"/>
          <w:sz w:val="28"/>
          <w:szCs w:val="28"/>
        </w:rPr>
        <w:t>（二）“三公”经费财政拨款支出决算具体情况说明</w:t>
      </w:r>
      <w:r>
        <w:rPr>
          <w:sz w:val="28"/>
          <w:szCs w:val="28"/>
        </w:rPr>
        <w:tab/>
      </w:r>
      <w:r>
        <w:rPr>
          <w:sz w:val="28"/>
          <w:szCs w:val="28"/>
        </w:rPr>
        <w:fldChar w:fldCharType="begin"/>
      </w:r>
      <w:r>
        <w:rPr>
          <w:sz w:val="28"/>
          <w:szCs w:val="28"/>
        </w:rPr>
        <w:instrText xml:space="preserve"> PAGEREF _Toc115193467 \h </w:instrText>
      </w:r>
      <w:r>
        <w:rPr>
          <w:sz w:val="28"/>
          <w:szCs w:val="28"/>
        </w:rPr>
        <w:fldChar w:fldCharType="separate"/>
      </w:r>
      <w:r>
        <w:rPr>
          <w:sz w:val="28"/>
          <w:szCs w:val="28"/>
        </w:rPr>
        <w:t>1</w:t>
      </w:r>
      <w:r>
        <w:rPr>
          <w:rFonts w:hint="eastAsia"/>
          <w:sz w:val="28"/>
          <w:szCs w:val="28"/>
          <w:lang w:val="en-US" w:eastAsia="zh-CN"/>
        </w:rPr>
        <w:t>1</w:t>
      </w:r>
      <w:r>
        <w:rPr>
          <w:sz w:val="28"/>
          <w:szCs w:val="28"/>
        </w:rPr>
        <w:fldChar w:fldCharType="end"/>
      </w:r>
      <w:r>
        <w:fldChar w:fldCharType="end"/>
      </w:r>
    </w:p>
    <w:p>
      <w:pPr>
        <w:pStyle w:val="15"/>
        <w:tabs>
          <w:tab w:val="right" w:leader="dot" w:pos="8296"/>
        </w:tabs>
        <w:rPr>
          <w:rFonts w:ascii="Calibri" w:hAnsi="Calibri" w:eastAsia="宋体" w:cs="黑体"/>
          <w:sz w:val="28"/>
          <w:szCs w:val="28"/>
        </w:rPr>
      </w:pPr>
      <w:r>
        <w:fldChar w:fldCharType="begin"/>
      </w:r>
      <w:r>
        <w:instrText xml:space="preserve">HYPERLINK  \l "_Toc115193468" </w:instrText>
      </w:r>
      <w:r>
        <w:fldChar w:fldCharType="separate"/>
      </w:r>
      <w:r>
        <w:rPr>
          <w:rStyle w:val="18"/>
          <w:rFonts w:hint="eastAsia" w:ascii="楷体" w:hAnsi="楷体" w:eastAsia="楷体"/>
          <w:sz w:val="28"/>
          <w:szCs w:val="28"/>
        </w:rPr>
        <w:t>八、政府性基金收入支出决算情况说明</w:t>
      </w:r>
      <w:r>
        <w:rPr>
          <w:sz w:val="28"/>
          <w:szCs w:val="28"/>
        </w:rPr>
        <w:tab/>
      </w:r>
      <w:r>
        <w:rPr>
          <w:sz w:val="28"/>
          <w:szCs w:val="28"/>
        </w:rPr>
        <w:fldChar w:fldCharType="begin"/>
      </w:r>
      <w:r>
        <w:rPr>
          <w:sz w:val="28"/>
          <w:szCs w:val="28"/>
        </w:rPr>
        <w:instrText xml:space="preserve"> PAGEREF _Toc115193469 \h </w:instrText>
      </w:r>
      <w:r>
        <w:rPr>
          <w:sz w:val="28"/>
          <w:szCs w:val="28"/>
        </w:rPr>
        <w:fldChar w:fldCharType="separate"/>
      </w:r>
      <w:r>
        <w:rPr>
          <w:sz w:val="28"/>
          <w:szCs w:val="28"/>
        </w:rPr>
        <w:t>1</w:t>
      </w:r>
      <w:r>
        <w:rPr>
          <w:sz w:val="28"/>
          <w:szCs w:val="28"/>
        </w:rPr>
        <w:fldChar w:fldCharType="end"/>
      </w:r>
      <w:r>
        <w:fldChar w:fldCharType="end"/>
      </w:r>
      <w:r>
        <w:rPr>
          <w:rFonts w:hint="eastAsia"/>
          <w:sz w:val="28"/>
          <w:szCs w:val="28"/>
          <w:lang w:val="en-US" w:eastAsia="zh-CN"/>
        </w:rPr>
        <w:t>2</w:t>
      </w:r>
    </w:p>
    <w:p>
      <w:pPr>
        <w:pStyle w:val="15"/>
        <w:tabs>
          <w:tab w:val="right" w:leader="dot" w:pos="8296"/>
        </w:tabs>
        <w:rPr>
          <w:rFonts w:ascii="Calibri" w:hAnsi="Calibri" w:eastAsia="宋体" w:cs="黑体"/>
          <w:sz w:val="28"/>
          <w:szCs w:val="28"/>
        </w:rPr>
      </w:pPr>
      <w:r>
        <w:fldChar w:fldCharType="begin"/>
      </w:r>
      <w:r>
        <w:instrText xml:space="preserve">HYPERLINK  \l "_Toc115193469" </w:instrText>
      </w:r>
      <w:r>
        <w:fldChar w:fldCharType="separate"/>
      </w:r>
      <w:r>
        <w:rPr>
          <w:rStyle w:val="18"/>
          <w:rFonts w:hint="eastAsia" w:ascii="楷体" w:hAnsi="楷体" w:eastAsia="楷体"/>
          <w:sz w:val="28"/>
          <w:szCs w:val="28"/>
        </w:rPr>
        <w:t>九、其他重要事项情况说明</w:t>
      </w:r>
      <w:r>
        <w:rPr>
          <w:sz w:val="28"/>
          <w:szCs w:val="28"/>
        </w:rPr>
        <w:tab/>
      </w:r>
      <w:r>
        <w:rPr>
          <w:sz w:val="28"/>
          <w:szCs w:val="28"/>
        </w:rPr>
        <w:fldChar w:fldCharType="begin"/>
      </w:r>
      <w:r>
        <w:rPr>
          <w:sz w:val="28"/>
          <w:szCs w:val="28"/>
        </w:rPr>
        <w:instrText xml:space="preserve"> PAGEREF _Toc115193469 \h </w:instrText>
      </w:r>
      <w:r>
        <w:rPr>
          <w:sz w:val="28"/>
          <w:szCs w:val="28"/>
        </w:rPr>
        <w:fldChar w:fldCharType="separate"/>
      </w:r>
      <w:r>
        <w:rPr>
          <w:sz w:val="28"/>
          <w:szCs w:val="28"/>
        </w:rPr>
        <w:t>1</w:t>
      </w:r>
      <w:r>
        <w:rPr>
          <w:rFonts w:hint="eastAsia"/>
          <w:sz w:val="28"/>
          <w:szCs w:val="28"/>
          <w:lang w:val="en-US" w:eastAsia="zh-CN"/>
        </w:rPr>
        <w:t>2</w:t>
      </w:r>
      <w:r>
        <w:rPr>
          <w:sz w:val="28"/>
          <w:szCs w:val="28"/>
        </w:rPr>
        <w:fldChar w:fldCharType="end"/>
      </w:r>
      <w:r>
        <w:fldChar w:fldCharType="end"/>
      </w:r>
    </w:p>
    <w:p>
      <w:pPr>
        <w:pStyle w:val="8"/>
        <w:tabs>
          <w:tab w:val="right" w:leader="dot" w:pos="8296"/>
        </w:tabs>
        <w:rPr>
          <w:rFonts w:ascii="Calibri" w:hAnsi="Calibri" w:eastAsia="宋体" w:cs="黑体"/>
          <w:sz w:val="28"/>
          <w:szCs w:val="28"/>
        </w:rPr>
      </w:pPr>
      <w:r>
        <w:fldChar w:fldCharType="begin"/>
      </w:r>
      <w:r>
        <w:instrText xml:space="preserve">HYPERLINK  \l "_Toc115193470" </w:instrText>
      </w:r>
      <w:r>
        <w:fldChar w:fldCharType="separate"/>
      </w:r>
      <w:r>
        <w:rPr>
          <w:rStyle w:val="18"/>
          <w:rFonts w:hint="eastAsia" w:ascii="楷体" w:hAnsi="楷体" w:eastAsia="楷体"/>
          <w:sz w:val="28"/>
          <w:szCs w:val="28"/>
        </w:rPr>
        <w:t>（一）机关运行经费支出情况说明</w:t>
      </w:r>
      <w:r>
        <w:rPr>
          <w:sz w:val="28"/>
          <w:szCs w:val="28"/>
        </w:rPr>
        <w:tab/>
      </w:r>
      <w:r>
        <w:rPr>
          <w:sz w:val="28"/>
          <w:szCs w:val="28"/>
        </w:rPr>
        <w:fldChar w:fldCharType="begin"/>
      </w:r>
      <w:r>
        <w:rPr>
          <w:sz w:val="28"/>
          <w:szCs w:val="28"/>
        </w:rPr>
        <w:instrText xml:space="preserve"> PAGEREF _Toc115193470 \h </w:instrText>
      </w:r>
      <w:r>
        <w:rPr>
          <w:sz w:val="28"/>
          <w:szCs w:val="28"/>
        </w:rPr>
        <w:fldChar w:fldCharType="separate"/>
      </w:r>
      <w:r>
        <w:rPr>
          <w:sz w:val="28"/>
          <w:szCs w:val="28"/>
        </w:rPr>
        <w:t>1</w:t>
      </w:r>
      <w:r>
        <w:rPr>
          <w:rFonts w:hint="eastAsia"/>
          <w:sz w:val="28"/>
          <w:szCs w:val="28"/>
          <w:lang w:val="en-US" w:eastAsia="zh-CN"/>
        </w:rPr>
        <w:t>2</w:t>
      </w:r>
      <w:r>
        <w:rPr>
          <w:sz w:val="28"/>
          <w:szCs w:val="28"/>
        </w:rPr>
        <w:fldChar w:fldCharType="end"/>
      </w:r>
      <w:r>
        <w:fldChar w:fldCharType="end"/>
      </w:r>
    </w:p>
    <w:p>
      <w:pPr>
        <w:pStyle w:val="8"/>
        <w:tabs>
          <w:tab w:val="right" w:leader="dot" w:pos="8296"/>
        </w:tabs>
        <w:rPr>
          <w:rFonts w:ascii="Calibri" w:hAnsi="Calibri" w:eastAsia="宋体" w:cs="黑体"/>
          <w:sz w:val="28"/>
          <w:szCs w:val="28"/>
        </w:rPr>
      </w:pPr>
      <w:r>
        <w:fldChar w:fldCharType="begin"/>
      </w:r>
      <w:r>
        <w:instrText xml:space="preserve">HYPERLINK  \l "_Toc115193471" </w:instrText>
      </w:r>
      <w:r>
        <w:fldChar w:fldCharType="separate"/>
      </w:r>
      <w:r>
        <w:rPr>
          <w:rStyle w:val="18"/>
          <w:rFonts w:hint="eastAsia" w:ascii="楷体" w:hAnsi="楷体" w:eastAsia="楷体"/>
          <w:sz w:val="28"/>
          <w:szCs w:val="28"/>
        </w:rPr>
        <w:t>（二）政府采购情况说明</w:t>
      </w:r>
      <w:r>
        <w:rPr>
          <w:sz w:val="28"/>
          <w:szCs w:val="28"/>
        </w:rPr>
        <w:tab/>
      </w:r>
      <w:r>
        <w:rPr>
          <w:sz w:val="28"/>
          <w:szCs w:val="28"/>
        </w:rPr>
        <w:fldChar w:fldCharType="begin"/>
      </w:r>
      <w:r>
        <w:rPr>
          <w:sz w:val="28"/>
          <w:szCs w:val="28"/>
        </w:rPr>
        <w:instrText xml:space="preserve"> PAGEREF _Toc115193471 \h </w:instrText>
      </w:r>
      <w:r>
        <w:rPr>
          <w:sz w:val="28"/>
          <w:szCs w:val="28"/>
        </w:rPr>
        <w:fldChar w:fldCharType="separate"/>
      </w:r>
      <w:r>
        <w:rPr>
          <w:sz w:val="28"/>
          <w:szCs w:val="28"/>
        </w:rPr>
        <w:t>1</w:t>
      </w:r>
      <w:r>
        <w:rPr>
          <w:rFonts w:hint="eastAsia"/>
          <w:sz w:val="28"/>
          <w:szCs w:val="28"/>
          <w:lang w:val="en-US" w:eastAsia="zh-CN"/>
        </w:rPr>
        <w:t>2</w:t>
      </w:r>
      <w:r>
        <w:rPr>
          <w:sz w:val="28"/>
          <w:szCs w:val="28"/>
        </w:rPr>
        <w:fldChar w:fldCharType="end"/>
      </w:r>
      <w:r>
        <w:fldChar w:fldCharType="end"/>
      </w:r>
    </w:p>
    <w:p>
      <w:pPr>
        <w:pStyle w:val="8"/>
        <w:tabs>
          <w:tab w:val="right" w:leader="dot" w:pos="8296"/>
        </w:tabs>
        <w:rPr>
          <w:rFonts w:ascii="Calibri" w:hAnsi="Calibri" w:eastAsia="宋体" w:cs="黑体"/>
          <w:sz w:val="28"/>
          <w:szCs w:val="28"/>
        </w:rPr>
      </w:pPr>
      <w:r>
        <w:fldChar w:fldCharType="begin"/>
      </w:r>
      <w:r>
        <w:instrText xml:space="preserve">HYPERLINK  \l "_Toc115193472" </w:instrText>
      </w:r>
      <w:r>
        <w:fldChar w:fldCharType="separate"/>
      </w:r>
      <w:r>
        <w:rPr>
          <w:rStyle w:val="18"/>
          <w:rFonts w:hint="eastAsia" w:ascii="楷体" w:hAnsi="楷体" w:eastAsia="楷体"/>
          <w:sz w:val="28"/>
          <w:szCs w:val="28"/>
        </w:rPr>
        <w:t>（三）国有资产占用情况说明</w:t>
      </w:r>
      <w:r>
        <w:rPr>
          <w:sz w:val="28"/>
          <w:szCs w:val="28"/>
        </w:rPr>
        <w:tab/>
      </w:r>
      <w:r>
        <w:rPr>
          <w:sz w:val="28"/>
          <w:szCs w:val="28"/>
        </w:rPr>
        <w:fldChar w:fldCharType="begin"/>
      </w:r>
      <w:r>
        <w:rPr>
          <w:sz w:val="28"/>
          <w:szCs w:val="28"/>
        </w:rPr>
        <w:instrText xml:space="preserve"> PAGEREF _Toc115193472 \h </w:instrText>
      </w:r>
      <w:r>
        <w:rPr>
          <w:sz w:val="28"/>
          <w:szCs w:val="28"/>
        </w:rPr>
        <w:fldChar w:fldCharType="separate"/>
      </w:r>
      <w:r>
        <w:rPr>
          <w:sz w:val="28"/>
          <w:szCs w:val="28"/>
        </w:rPr>
        <w:t>1</w:t>
      </w:r>
      <w:r>
        <w:rPr>
          <w:rFonts w:hint="eastAsia"/>
          <w:sz w:val="28"/>
          <w:szCs w:val="28"/>
          <w:lang w:val="en-US" w:eastAsia="zh-CN"/>
        </w:rPr>
        <w:t>3</w:t>
      </w:r>
      <w:r>
        <w:rPr>
          <w:sz w:val="28"/>
          <w:szCs w:val="28"/>
        </w:rPr>
        <w:fldChar w:fldCharType="end"/>
      </w:r>
      <w:r>
        <w:fldChar w:fldCharType="end"/>
      </w:r>
    </w:p>
    <w:p>
      <w:pPr>
        <w:pStyle w:val="8"/>
        <w:tabs>
          <w:tab w:val="right" w:leader="dot" w:pos="8296"/>
        </w:tabs>
        <w:rPr>
          <w:rFonts w:ascii="Calibri" w:hAnsi="Calibri" w:eastAsia="宋体" w:cs="黑体"/>
          <w:sz w:val="28"/>
          <w:szCs w:val="28"/>
        </w:rPr>
      </w:pPr>
      <w:r>
        <w:fldChar w:fldCharType="begin"/>
      </w:r>
      <w:r>
        <w:instrText xml:space="preserve">HYPERLINK  \l "_Toc115193473" </w:instrText>
      </w:r>
      <w:r>
        <w:fldChar w:fldCharType="separate"/>
      </w:r>
      <w:r>
        <w:rPr>
          <w:rStyle w:val="18"/>
          <w:rFonts w:hint="eastAsia" w:ascii="楷体" w:hAnsi="楷体" w:eastAsia="楷体"/>
          <w:sz w:val="28"/>
          <w:szCs w:val="28"/>
        </w:rPr>
        <w:t>（四）预算绩效情况说明</w:t>
      </w:r>
      <w:r>
        <w:rPr>
          <w:sz w:val="28"/>
          <w:szCs w:val="28"/>
        </w:rPr>
        <w:tab/>
      </w:r>
      <w:r>
        <w:rPr>
          <w:sz w:val="28"/>
          <w:szCs w:val="28"/>
        </w:rPr>
        <w:fldChar w:fldCharType="begin"/>
      </w:r>
      <w:r>
        <w:rPr>
          <w:sz w:val="28"/>
          <w:szCs w:val="28"/>
        </w:rPr>
        <w:instrText xml:space="preserve"> PAGEREF _Toc115193473 \h </w:instrText>
      </w:r>
      <w:r>
        <w:rPr>
          <w:sz w:val="28"/>
          <w:szCs w:val="28"/>
        </w:rPr>
        <w:fldChar w:fldCharType="separate"/>
      </w:r>
      <w:r>
        <w:rPr>
          <w:sz w:val="28"/>
          <w:szCs w:val="28"/>
        </w:rPr>
        <w:t>1</w:t>
      </w:r>
      <w:r>
        <w:rPr>
          <w:rFonts w:hint="eastAsia"/>
          <w:sz w:val="28"/>
          <w:szCs w:val="28"/>
          <w:lang w:val="en-US" w:eastAsia="zh-CN"/>
        </w:rPr>
        <w:t>3</w:t>
      </w:r>
      <w:r>
        <w:rPr>
          <w:sz w:val="28"/>
          <w:szCs w:val="28"/>
        </w:rPr>
        <w:fldChar w:fldCharType="end"/>
      </w:r>
      <w:r>
        <w:fldChar w:fldCharType="end"/>
      </w:r>
    </w:p>
    <w:p>
      <w:pPr>
        <w:pStyle w:val="8"/>
        <w:tabs>
          <w:tab w:val="right" w:leader="dot" w:pos="8296"/>
        </w:tabs>
        <w:rPr>
          <w:rFonts w:ascii="Calibri" w:hAnsi="Calibri" w:eastAsia="宋体" w:cs="黑体"/>
          <w:sz w:val="28"/>
          <w:szCs w:val="28"/>
        </w:rPr>
      </w:pPr>
      <w:r>
        <w:fldChar w:fldCharType="begin"/>
      </w:r>
      <w:r>
        <w:instrText xml:space="preserve">HYPERLINK  \l "_Toc115193474" </w:instrText>
      </w:r>
      <w:r>
        <w:fldChar w:fldCharType="separate"/>
      </w:r>
      <w:r>
        <w:rPr>
          <w:rStyle w:val="18"/>
          <w:rFonts w:hint="eastAsia" w:ascii="楷体" w:hAnsi="楷体" w:eastAsia="楷体"/>
          <w:sz w:val="28"/>
          <w:szCs w:val="28"/>
        </w:rPr>
        <w:t>（五）其他需要说明的事项</w:t>
      </w:r>
      <w:r>
        <w:rPr>
          <w:sz w:val="28"/>
          <w:szCs w:val="28"/>
        </w:rPr>
        <w:tab/>
      </w:r>
      <w:r>
        <w:rPr>
          <w:sz w:val="28"/>
          <w:szCs w:val="28"/>
        </w:rPr>
        <w:fldChar w:fldCharType="begin"/>
      </w:r>
      <w:r>
        <w:rPr>
          <w:sz w:val="28"/>
          <w:szCs w:val="28"/>
        </w:rPr>
        <w:instrText xml:space="preserve"> PAGEREF _Toc115193474 \h </w:instrText>
      </w:r>
      <w:r>
        <w:rPr>
          <w:sz w:val="28"/>
          <w:szCs w:val="28"/>
        </w:rPr>
        <w:fldChar w:fldCharType="separate"/>
      </w:r>
      <w:r>
        <w:rPr>
          <w:sz w:val="28"/>
          <w:szCs w:val="28"/>
        </w:rPr>
        <w:t>2</w:t>
      </w:r>
      <w:r>
        <w:rPr>
          <w:rFonts w:hint="eastAsia"/>
          <w:sz w:val="28"/>
          <w:szCs w:val="28"/>
          <w:lang w:val="en-US" w:eastAsia="zh-CN"/>
        </w:rPr>
        <w:t>0</w:t>
      </w:r>
      <w:r>
        <w:rPr>
          <w:sz w:val="28"/>
          <w:szCs w:val="28"/>
        </w:rPr>
        <w:fldChar w:fldCharType="end"/>
      </w:r>
      <w:r>
        <w:fldChar w:fldCharType="end"/>
      </w:r>
    </w:p>
    <w:p>
      <w:pPr>
        <w:pStyle w:val="12"/>
        <w:tabs>
          <w:tab w:val="right" w:leader="dot" w:pos="8296"/>
        </w:tabs>
        <w:rPr>
          <w:rFonts w:ascii="Calibri" w:hAnsi="Calibri" w:eastAsia="宋体" w:cs="黑体"/>
          <w:sz w:val="28"/>
          <w:szCs w:val="28"/>
        </w:rPr>
      </w:pPr>
      <w:r>
        <w:fldChar w:fldCharType="begin"/>
      </w:r>
      <w:r>
        <w:instrText xml:space="preserve">HYPERLINK  \l "_Toc115193475" </w:instrText>
      </w:r>
      <w:r>
        <w:fldChar w:fldCharType="separate"/>
      </w:r>
      <w:r>
        <w:rPr>
          <w:rStyle w:val="18"/>
          <w:rFonts w:hint="eastAsia"/>
          <w:sz w:val="28"/>
          <w:szCs w:val="28"/>
        </w:rPr>
        <w:t>第四部分</w:t>
      </w:r>
      <w:r>
        <w:rPr>
          <w:rStyle w:val="18"/>
          <w:sz w:val="28"/>
          <w:szCs w:val="28"/>
        </w:rPr>
        <w:t xml:space="preserve">  </w:t>
      </w:r>
      <w:r>
        <w:rPr>
          <w:rStyle w:val="18"/>
          <w:rFonts w:hint="eastAsia"/>
          <w:sz w:val="28"/>
          <w:szCs w:val="28"/>
        </w:rPr>
        <w:t>名词解释</w:t>
      </w:r>
      <w:r>
        <w:rPr>
          <w:sz w:val="28"/>
          <w:szCs w:val="28"/>
        </w:rPr>
        <w:tab/>
      </w:r>
      <w:r>
        <w:rPr>
          <w:sz w:val="28"/>
          <w:szCs w:val="28"/>
        </w:rPr>
        <w:fldChar w:fldCharType="begin"/>
      </w:r>
      <w:r>
        <w:rPr>
          <w:sz w:val="28"/>
          <w:szCs w:val="28"/>
        </w:rPr>
        <w:instrText xml:space="preserve"> PAGEREF _Toc115193475 \h </w:instrText>
      </w:r>
      <w:r>
        <w:rPr>
          <w:sz w:val="28"/>
          <w:szCs w:val="28"/>
        </w:rPr>
        <w:fldChar w:fldCharType="separate"/>
      </w:r>
      <w:r>
        <w:rPr>
          <w:sz w:val="28"/>
          <w:szCs w:val="28"/>
        </w:rPr>
        <w:t>2</w:t>
      </w:r>
      <w:r>
        <w:rPr>
          <w:rFonts w:hint="eastAsia"/>
          <w:sz w:val="28"/>
          <w:szCs w:val="28"/>
          <w:lang w:val="en-US" w:eastAsia="zh-CN"/>
        </w:rPr>
        <w:t>1</w:t>
      </w:r>
      <w:r>
        <w:rPr>
          <w:sz w:val="28"/>
          <w:szCs w:val="28"/>
        </w:rPr>
        <w:fldChar w:fldCharType="end"/>
      </w:r>
      <w:r>
        <w:fldChar w:fldCharType="end"/>
      </w:r>
    </w:p>
    <w:p>
      <w:r>
        <w:rPr>
          <w:sz w:val="28"/>
          <w:szCs w:val="28"/>
        </w:rPr>
        <w:fldChar w:fldCharType="end"/>
      </w:r>
    </w:p>
    <w:p/>
    <w:p>
      <w:pPr>
        <w:pStyle w:val="19"/>
        <w:autoSpaceDN w:val="0"/>
        <w:spacing w:before="312"/>
        <w:jc w:val="center"/>
        <w:rPr>
          <w:rFonts w:ascii="方正小标宋简体" w:eastAsia="方正小标宋简体"/>
          <w:sz w:val="32"/>
          <w:szCs w:val="32"/>
        </w:rPr>
      </w:pPr>
    </w:p>
    <w:p>
      <w:pPr>
        <w:pStyle w:val="19"/>
        <w:autoSpaceDN w:val="0"/>
        <w:spacing w:before="312"/>
        <w:jc w:val="center"/>
        <w:rPr>
          <w:rFonts w:ascii="方正小标宋简体" w:eastAsia="方正小标宋简体"/>
          <w:sz w:val="32"/>
          <w:szCs w:val="32"/>
        </w:rPr>
      </w:pPr>
    </w:p>
    <w:p>
      <w:pPr>
        <w:rPr>
          <w:sz w:val="32"/>
          <w:szCs w:val="32"/>
        </w:rPr>
      </w:pPr>
    </w:p>
    <w:p>
      <w:pPr>
        <w:pStyle w:val="2"/>
        <w:rPr>
          <w:rFonts w:hint="eastAsia" w:ascii="黑体" w:hAnsi="黑体" w:eastAsia="黑体"/>
          <w:b w:val="0"/>
          <w:sz w:val="36"/>
          <w:szCs w:val="36"/>
        </w:rPr>
        <w:sectPr>
          <w:footerReference r:id="rId5" w:type="default"/>
          <w:pgSz w:w="11906" w:h="16838"/>
          <w:pgMar w:top="1440" w:right="1800" w:bottom="1440" w:left="1800" w:header="851" w:footer="992" w:gutter="0"/>
          <w:pgNumType w:start="1"/>
          <w:cols w:space="720" w:num="1"/>
          <w:docGrid w:type="lines" w:linePitch="312"/>
        </w:sectPr>
      </w:pPr>
      <w:bookmarkStart w:id="0" w:name="_Toc115186314"/>
      <w:bookmarkStart w:id="1" w:name="_Toc115186579"/>
      <w:bookmarkStart w:id="2" w:name="_Toc115187262"/>
      <w:bookmarkStart w:id="3" w:name="_Toc115193441"/>
    </w:p>
    <w:p>
      <w:pPr>
        <w:pStyle w:val="2"/>
        <w:rPr>
          <w:rFonts w:ascii="黑体" w:hAnsi="黑体" w:eastAsia="黑体"/>
          <w:b w:val="0"/>
          <w:sz w:val="36"/>
          <w:szCs w:val="36"/>
        </w:rPr>
      </w:pPr>
      <w:r>
        <w:rPr>
          <w:rFonts w:hint="eastAsia" w:ascii="黑体" w:hAnsi="黑体" w:eastAsia="黑体"/>
          <w:b w:val="0"/>
          <w:sz w:val="36"/>
          <w:szCs w:val="36"/>
        </w:rPr>
        <w:t>第一部分  概况</w:t>
      </w:r>
      <w:bookmarkEnd w:id="0"/>
      <w:bookmarkEnd w:id="1"/>
      <w:bookmarkEnd w:id="2"/>
      <w:bookmarkEnd w:id="3"/>
    </w:p>
    <w:p>
      <w:pPr>
        <w:pStyle w:val="3"/>
        <w:spacing w:beforeLines="20" w:afterLines="20" w:line="240" w:lineRule="auto"/>
        <w:rPr>
          <w:rFonts w:ascii="楷体" w:hAnsi="楷体" w:eastAsia="楷体"/>
          <w:b w:val="0"/>
        </w:rPr>
      </w:pPr>
      <w:r>
        <w:rPr>
          <w:rFonts w:hint="eastAsia"/>
        </w:rPr>
        <w:t xml:space="preserve">    </w:t>
      </w:r>
      <w:r>
        <w:rPr>
          <w:rFonts w:hint="eastAsia" w:ascii="楷体" w:hAnsi="楷体" w:eastAsia="楷体"/>
        </w:rPr>
        <w:t xml:space="preserve"> </w:t>
      </w:r>
      <w:bookmarkStart w:id="4" w:name="_Toc115186315"/>
      <w:bookmarkStart w:id="5" w:name="_Toc115186580"/>
      <w:bookmarkStart w:id="6" w:name="_Toc115187263"/>
      <w:bookmarkStart w:id="7" w:name="_Toc115193442"/>
      <w:r>
        <w:rPr>
          <w:rFonts w:hint="eastAsia" w:ascii="楷体" w:hAnsi="楷体" w:eastAsia="楷体"/>
          <w:b w:val="0"/>
        </w:rPr>
        <w:t>一、本部门职责</w:t>
      </w:r>
      <w:bookmarkEnd w:id="4"/>
      <w:bookmarkEnd w:id="5"/>
      <w:bookmarkEnd w:id="6"/>
      <w:bookmarkEnd w:id="7"/>
    </w:p>
    <w:p>
      <w:pPr>
        <w:pStyle w:val="19"/>
        <w:ind w:firstLine="480"/>
        <w:jc w:val="left"/>
        <w:rPr>
          <w:rFonts w:ascii="仿宋_GB2312" w:eastAsia="仿宋_GB2312"/>
          <w:sz w:val="32"/>
          <w:szCs w:val="32"/>
        </w:rPr>
      </w:pPr>
      <w:r>
        <w:rPr>
          <w:rFonts w:hint="eastAsia" w:ascii="仿宋_GB2312" w:eastAsia="仿宋_GB2312"/>
          <w:sz w:val="32"/>
          <w:szCs w:val="32"/>
        </w:rPr>
        <w:t xml:space="preserve"> 1、贯彻执行国家财政、税收、宏观经济等各项方针政策，参与拟定全市各项宏观经济政策，拟定和执行全市财政、税收的发展战略、方针政策、中长期规划、改革方案及其他有关政策，提出运用财税政策实施宏观调控和综合平衡社会财力的建议，拟定和执行市对县（市、区）及国家与企业的分配政策。</w:t>
      </w:r>
    </w:p>
    <w:p>
      <w:pPr>
        <w:pStyle w:val="19"/>
        <w:ind w:firstLine="480"/>
        <w:jc w:val="left"/>
        <w:rPr>
          <w:rFonts w:ascii="仿宋_GB2312" w:eastAsia="仿宋_GB2312"/>
          <w:sz w:val="32"/>
          <w:szCs w:val="32"/>
        </w:rPr>
      </w:pPr>
      <w:r>
        <w:rPr>
          <w:rFonts w:hint="eastAsia" w:ascii="仿宋_GB2312" w:eastAsia="仿宋_GB2312"/>
          <w:sz w:val="32"/>
          <w:szCs w:val="32"/>
        </w:rPr>
        <w:t xml:space="preserve"> 2、贯彻执行国家财政、财务、会计管理及行政事业单位国有资产管理的法律、法规、规章及各项方针政策，拟定全市财政、财务、会计管理及行政事业单位国有资产管理的规定和制度等。</w:t>
      </w:r>
    </w:p>
    <w:p>
      <w:pPr>
        <w:pStyle w:val="19"/>
        <w:ind w:firstLine="480"/>
        <w:jc w:val="left"/>
        <w:rPr>
          <w:rFonts w:ascii="仿宋_GB2312" w:eastAsia="仿宋_GB2312"/>
          <w:sz w:val="32"/>
          <w:szCs w:val="32"/>
        </w:rPr>
      </w:pPr>
      <w:r>
        <w:rPr>
          <w:rFonts w:hint="eastAsia" w:ascii="仿宋_GB2312" w:eastAsia="仿宋_GB2312"/>
          <w:sz w:val="32"/>
          <w:szCs w:val="32"/>
        </w:rPr>
        <w:t xml:space="preserve"> 3、编制年度市本级预决算草案并组织执行。受市人民政府委托，向市人民代表大会报告全市和市级预算及其执行情况，向市人大常委会报告市本级决算。深化部门预算改革，组织制定经费开支标准、定额，负责审核批复部门（单位）的年度预决算。完善转移支付制度。</w:t>
      </w:r>
    </w:p>
    <w:p>
      <w:pPr>
        <w:pStyle w:val="19"/>
        <w:ind w:firstLine="480"/>
        <w:jc w:val="left"/>
        <w:rPr>
          <w:rFonts w:ascii="仿宋_GB2312" w:eastAsia="仿宋_GB2312"/>
          <w:sz w:val="32"/>
          <w:szCs w:val="32"/>
        </w:rPr>
      </w:pPr>
      <w:r>
        <w:rPr>
          <w:rFonts w:hint="eastAsia" w:ascii="仿宋_GB2312" w:eastAsia="仿宋_GB2312"/>
          <w:sz w:val="32"/>
          <w:szCs w:val="32"/>
        </w:rPr>
        <w:t xml:space="preserve"> 4、负责政府非税收入管理，负责政府性基金管理及预算编制，按规定管理行政事业性收费。管理财政票据。拟定地方彩票管理制度及发行计划，管理彩票市场，按规定管理彩票资金。负责煤炭可持续发展基金的管理和稽查。</w:t>
      </w:r>
    </w:p>
    <w:p>
      <w:pPr>
        <w:pStyle w:val="19"/>
        <w:ind w:firstLine="480"/>
        <w:jc w:val="left"/>
        <w:rPr>
          <w:rFonts w:ascii="仿宋_GB2312" w:eastAsia="仿宋_GB2312"/>
          <w:sz w:val="32"/>
          <w:szCs w:val="32"/>
        </w:rPr>
      </w:pPr>
      <w:r>
        <w:rPr>
          <w:rFonts w:hint="eastAsia" w:ascii="仿宋_GB2312" w:eastAsia="仿宋_GB2312"/>
          <w:sz w:val="32"/>
          <w:szCs w:val="32"/>
        </w:rPr>
        <w:t xml:space="preserve"> 5、贯彻执行国库管理制度、国库集中收付制度，推行市级财政国库集中收付制度并进行监督管理，指导全市推行财政国库集中收付制度工作。负责审核和编制汇总全市财政总决算和部门决算。负责管理市本级财政银行账户和市级预算单位银行账户。制定地方国库现金管理制度，负责组织实施地方国库现金管理工作。负责制定全市政府采购制度并监督管理，编制市级政府采购预算。</w:t>
      </w:r>
    </w:p>
    <w:p>
      <w:pPr>
        <w:pStyle w:val="19"/>
        <w:ind w:firstLine="480"/>
        <w:jc w:val="left"/>
        <w:rPr>
          <w:rFonts w:ascii="仿宋_GB2312" w:eastAsia="仿宋_GB2312"/>
          <w:sz w:val="32"/>
          <w:szCs w:val="32"/>
        </w:rPr>
      </w:pPr>
      <w:r>
        <w:rPr>
          <w:rFonts w:hint="eastAsia" w:ascii="仿宋_GB2312" w:eastAsia="仿宋_GB2312"/>
          <w:sz w:val="32"/>
          <w:szCs w:val="32"/>
        </w:rPr>
        <w:t xml:space="preserve"> 6、做好地方税收立法调查，研究提出地方税收法规、规章草案及实施办法的建议和税收政策调整建议。</w:t>
      </w:r>
    </w:p>
    <w:p>
      <w:pPr>
        <w:pStyle w:val="19"/>
        <w:ind w:firstLine="480"/>
        <w:jc w:val="left"/>
        <w:rPr>
          <w:rFonts w:ascii="仿宋_GB2312" w:eastAsia="仿宋_GB2312"/>
          <w:sz w:val="32"/>
          <w:szCs w:val="32"/>
        </w:rPr>
      </w:pPr>
      <w:r>
        <w:rPr>
          <w:rFonts w:hint="eastAsia" w:ascii="仿宋_GB2312" w:eastAsia="仿宋_GB2312"/>
          <w:sz w:val="32"/>
          <w:szCs w:val="32"/>
        </w:rPr>
        <w:t xml:space="preserve"> 7、拟定并组织实施全市行政事业单位国有资产及其收益管理的规章制度，建立行政事业单位国有资产配置、整合、调剂、共享、共用机制，负责管理市级行政事业单位国有资产及其收益，审核批复市级行政事业单位国有资产配置、处置、产权界定等事项。</w:t>
      </w:r>
    </w:p>
    <w:p>
      <w:pPr>
        <w:pStyle w:val="19"/>
        <w:ind w:firstLine="480"/>
        <w:jc w:val="left"/>
        <w:rPr>
          <w:rFonts w:ascii="仿宋_GB2312" w:eastAsia="仿宋_GB2312"/>
          <w:sz w:val="32"/>
          <w:szCs w:val="32"/>
        </w:rPr>
      </w:pPr>
      <w:r>
        <w:rPr>
          <w:rFonts w:hint="eastAsia" w:ascii="仿宋_GB2312" w:eastAsia="仿宋_GB2312"/>
          <w:sz w:val="32"/>
          <w:szCs w:val="32"/>
        </w:rPr>
        <w:t xml:space="preserve"> 8、制定全市国有资本经营预算的制度和办法，负责审核和汇总编制国有资本经营预决算草案，收取市级企业国有资本收益，制定并组织实施企业财务制度，管理市属地方金融类企业国有资产，参与拟定企业国有资产管理相关制度，按规定管理资产评估工作。</w:t>
      </w:r>
    </w:p>
    <w:p>
      <w:pPr>
        <w:pStyle w:val="19"/>
        <w:ind w:firstLine="480"/>
        <w:jc w:val="left"/>
        <w:rPr>
          <w:rFonts w:ascii="仿宋_GB2312" w:eastAsia="仿宋_GB2312"/>
          <w:sz w:val="32"/>
          <w:szCs w:val="32"/>
        </w:rPr>
      </w:pPr>
      <w:r>
        <w:rPr>
          <w:rFonts w:hint="eastAsia" w:ascii="仿宋_GB2312" w:eastAsia="仿宋_GB2312"/>
          <w:sz w:val="32"/>
          <w:szCs w:val="32"/>
        </w:rPr>
        <w:t xml:space="preserve"> 9、负责办理和监督市级财政的经济发展支出、市级政府性投资项目的财政拨款，参与拟定全市建设投资的有关政策，拟定基本建设财务制度，负责有关政策性补贴和专项储备资金财政管理工作。负责全市农业综合开发管理工作，指导和推动全市农村综合改革工作。</w:t>
      </w:r>
    </w:p>
    <w:p>
      <w:pPr>
        <w:pStyle w:val="19"/>
        <w:ind w:firstLine="480"/>
        <w:jc w:val="left"/>
        <w:rPr>
          <w:rFonts w:ascii="仿宋_GB2312" w:eastAsia="仿宋_GB2312"/>
          <w:sz w:val="32"/>
          <w:szCs w:val="32"/>
        </w:rPr>
      </w:pPr>
      <w:r>
        <w:rPr>
          <w:rFonts w:hint="eastAsia" w:ascii="仿宋_GB2312" w:eastAsia="仿宋_GB2312"/>
          <w:sz w:val="32"/>
          <w:szCs w:val="32"/>
        </w:rPr>
        <w:t xml:space="preserve"> 10、会同有关部门管理市级财政社会保障和就业及医疗卫生支出，会同有关部门拟定社会保障资金（基金）的财务管理制度，编制市本级社会保障预决算草案。</w:t>
      </w:r>
    </w:p>
    <w:p>
      <w:pPr>
        <w:pStyle w:val="19"/>
        <w:ind w:firstLine="480"/>
        <w:jc w:val="left"/>
        <w:rPr>
          <w:rFonts w:ascii="仿宋_GB2312" w:eastAsia="仿宋_GB2312"/>
          <w:sz w:val="32"/>
          <w:szCs w:val="32"/>
        </w:rPr>
      </w:pPr>
      <w:r>
        <w:rPr>
          <w:rFonts w:hint="eastAsia" w:ascii="仿宋_GB2312" w:eastAsia="仿宋_GB2312"/>
          <w:sz w:val="32"/>
          <w:szCs w:val="32"/>
        </w:rPr>
        <w:t xml:space="preserve"> 11、贯彻执行国家关于国内债务和政府外债管理的各项方针政策、规章制度和管理办法，负责地方政府内债会计核算工作。负责管理外国政府贷（赠）款和全市利用国际金融组织贷（赠）款工作，参与相关对外谈判工作。</w:t>
      </w:r>
    </w:p>
    <w:p>
      <w:pPr>
        <w:pStyle w:val="19"/>
        <w:ind w:firstLine="480"/>
        <w:jc w:val="left"/>
        <w:rPr>
          <w:rFonts w:ascii="仿宋_GB2312" w:eastAsia="仿宋_GB2312"/>
          <w:sz w:val="32"/>
          <w:szCs w:val="32"/>
        </w:rPr>
      </w:pPr>
      <w:r>
        <w:rPr>
          <w:rFonts w:hint="eastAsia" w:ascii="仿宋_GB2312" w:eastAsia="仿宋_GB2312"/>
          <w:sz w:val="32"/>
          <w:szCs w:val="32"/>
        </w:rPr>
        <w:t xml:space="preserve"> 12、负责管理全市的会计工作，监督和规范会计行为，拟定全市会计管理工作的实施意见，负责全市会计专业技术资格管理，指导和监督全市注册会计师、注册资产评估师、会计师事务所和资产评估机构的业务，指导会计理论研究等工作。</w:t>
      </w:r>
    </w:p>
    <w:p>
      <w:pPr>
        <w:pStyle w:val="19"/>
        <w:ind w:firstLine="480"/>
        <w:jc w:val="left"/>
        <w:rPr>
          <w:rFonts w:ascii="仿宋_GB2312" w:eastAsia="仿宋_GB2312"/>
          <w:sz w:val="32"/>
          <w:szCs w:val="32"/>
        </w:rPr>
      </w:pPr>
      <w:r>
        <w:rPr>
          <w:rFonts w:hint="eastAsia" w:ascii="仿宋_GB2312" w:eastAsia="仿宋_GB2312"/>
          <w:sz w:val="32"/>
          <w:szCs w:val="32"/>
        </w:rPr>
        <w:t xml:space="preserve"> 13、监督检查财税法规、政策的执行情况；检查反映财政收支管理中的重大问题；提出加强财政管理的政策建议。</w:t>
      </w:r>
    </w:p>
    <w:p>
      <w:pPr>
        <w:pStyle w:val="19"/>
        <w:ind w:firstLine="480"/>
        <w:jc w:val="left"/>
        <w:rPr>
          <w:rFonts w:ascii="仿宋_GB2312" w:eastAsia="仿宋_GB2312"/>
          <w:sz w:val="32"/>
          <w:szCs w:val="32"/>
        </w:rPr>
      </w:pPr>
      <w:r>
        <w:rPr>
          <w:rFonts w:hint="eastAsia" w:ascii="仿宋_GB2312" w:eastAsia="仿宋_GB2312"/>
          <w:sz w:val="32"/>
          <w:szCs w:val="32"/>
        </w:rPr>
        <w:t xml:space="preserve"> 14、制定全市财政科学研究和财政教育规划，组织全市财政人才培训，负责财政信息和财政宣传工作。</w:t>
      </w:r>
    </w:p>
    <w:p>
      <w:pPr>
        <w:pStyle w:val="19"/>
        <w:ind w:firstLine="480"/>
        <w:jc w:val="left"/>
        <w:rPr>
          <w:rFonts w:ascii="仿宋_GB2312" w:eastAsia="仿宋_GB2312"/>
          <w:sz w:val="32"/>
          <w:szCs w:val="32"/>
        </w:rPr>
      </w:pPr>
      <w:r>
        <w:rPr>
          <w:rFonts w:hint="eastAsia" w:ascii="仿宋_GB2312" w:eastAsia="仿宋_GB2312"/>
          <w:sz w:val="32"/>
          <w:szCs w:val="32"/>
        </w:rPr>
        <w:t xml:space="preserve"> 15、承办市人民政府交办的其他事项。</w:t>
      </w:r>
    </w:p>
    <w:p>
      <w:pPr>
        <w:pStyle w:val="19"/>
        <w:autoSpaceDN w:val="0"/>
        <w:spacing w:before="312" w:after="156"/>
        <w:ind w:firstLine="480"/>
        <w:jc w:val="left"/>
        <w:rPr>
          <w:rFonts w:ascii="华文中宋" w:hAnsi="华文中宋" w:eastAsia="华文中宋"/>
          <w:sz w:val="32"/>
          <w:szCs w:val="32"/>
        </w:rPr>
      </w:pPr>
    </w:p>
    <w:p>
      <w:pPr>
        <w:pStyle w:val="19"/>
        <w:autoSpaceDN w:val="0"/>
        <w:spacing w:before="312" w:after="156"/>
        <w:ind w:firstLine="480"/>
        <w:jc w:val="left"/>
        <w:rPr>
          <w:rFonts w:ascii="华文中宋" w:hAnsi="华文中宋" w:eastAsia="华文中宋"/>
          <w:sz w:val="32"/>
          <w:szCs w:val="32"/>
        </w:rPr>
      </w:pPr>
    </w:p>
    <w:p>
      <w:pPr>
        <w:pStyle w:val="3"/>
        <w:spacing w:beforeLines="20" w:afterLines="20" w:line="240" w:lineRule="auto"/>
        <w:rPr>
          <w:rFonts w:ascii="楷体" w:hAnsi="楷体" w:eastAsia="楷体"/>
          <w:b w:val="0"/>
        </w:rPr>
      </w:pPr>
      <w:r>
        <w:rPr>
          <w:rFonts w:hint="eastAsia" w:ascii="楷体" w:hAnsi="楷体" w:eastAsia="楷体"/>
        </w:rPr>
        <w:t xml:space="preserve">    </w:t>
      </w:r>
      <w:bookmarkStart w:id="8" w:name="_Toc115186316"/>
      <w:bookmarkStart w:id="9" w:name="_Toc115186581"/>
      <w:bookmarkStart w:id="10" w:name="_Toc115187264"/>
      <w:bookmarkStart w:id="11" w:name="_Toc115193443"/>
      <w:r>
        <w:rPr>
          <w:rFonts w:hint="eastAsia" w:ascii="楷体" w:hAnsi="楷体" w:eastAsia="楷体"/>
          <w:b w:val="0"/>
        </w:rPr>
        <w:t>二、机构设置情况</w:t>
      </w:r>
      <w:bookmarkEnd w:id="8"/>
      <w:bookmarkEnd w:id="9"/>
      <w:bookmarkEnd w:id="10"/>
      <w:bookmarkEnd w:id="11"/>
    </w:p>
    <w:p>
      <w:pPr>
        <w:pStyle w:val="19"/>
        <w:jc w:val="left"/>
        <w:rPr>
          <w:rFonts w:ascii="仿宋_GB2312" w:eastAsia="仿宋_GB2312"/>
          <w:sz w:val="32"/>
          <w:szCs w:val="32"/>
        </w:rPr>
      </w:pPr>
      <w:r>
        <w:rPr>
          <w:rFonts w:hint="eastAsia" w:ascii="仿宋_GB2312" w:eastAsia="仿宋_GB2312"/>
          <w:sz w:val="32"/>
          <w:szCs w:val="32"/>
        </w:rPr>
        <w:t xml:space="preserve">    从部门决算构成看，忻州市财政局部门决算包括局</w:t>
      </w:r>
      <w:r>
        <w:rPr>
          <w:rFonts w:hint="eastAsia" w:ascii="仿宋_GB2312" w:eastAsia="仿宋_GB2312"/>
          <w:sz w:val="32"/>
          <w:szCs w:val="32"/>
          <w:lang w:val="en-US" w:eastAsia="zh-CN"/>
        </w:rPr>
        <w:t>机关</w:t>
      </w:r>
      <w:r>
        <w:rPr>
          <w:rFonts w:hint="eastAsia" w:ascii="仿宋_GB2312" w:eastAsia="仿宋_GB2312"/>
          <w:sz w:val="32"/>
          <w:szCs w:val="32"/>
        </w:rPr>
        <w:t>决算、局属事业单位决算。</w:t>
      </w:r>
    </w:p>
    <w:p>
      <w:pPr>
        <w:pStyle w:val="19"/>
        <w:ind w:firstLine="480"/>
        <w:jc w:val="left"/>
        <w:rPr>
          <w:rFonts w:ascii="仿宋_GB2312" w:eastAsia="仿宋_GB2312"/>
          <w:sz w:val="32"/>
          <w:szCs w:val="32"/>
        </w:rPr>
      </w:pPr>
      <w:r>
        <w:rPr>
          <w:rFonts w:hint="eastAsia" w:ascii="仿宋_GB2312" w:eastAsia="仿宋_GB2312"/>
          <w:sz w:val="32"/>
          <w:szCs w:val="32"/>
        </w:rPr>
        <w:t xml:space="preserve"> 纳入忻州市财政局2021年度部门决算编制范围的单位包括：</w:t>
      </w:r>
    </w:p>
    <w:p>
      <w:pPr>
        <w:pStyle w:val="19"/>
        <w:ind w:firstLine="480"/>
        <w:jc w:val="left"/>
        <w:rPr>
          <w:rFonts w:ascii="仿宋_GB2312" w:eastAsia="仿宋_GB2312"/>
          <w:sz w:val="32"/>
          <w:szCs w:val="32"/>
        </w:rPr>
      </w:pPr>
      <w:r>
        <w:rPr>
          <w:rFonts w:hint="eastAsia" w:ascii="仿宋_GB2312" w:eastAsia="仿宋_GB2312"/>
          <w:sz w:val="32"/>
          <w:szCs w:val="32"/>
        </w:rPr>
        <w:t xml:space="preserve"> 忻州市财政局</w:t>
      </w:r>
      <w:r>
        <w:rPr>
          <w:rFonts w:hint="eastAsia" w:ascii="仿宋_GB2312" w:eastAsia="仿宋_GB2312"/>
          <w:sz w:val="32"/>
          <w:szCs w:val="32"/>
          <w:lang w:val="en-US" w:eastAsia="zh-CN"/>
        </w:rPr>
        <w:t>局机关</w:t>
      </w:r>
    </w:p>
    <w:p>
      <w:pPr>
        <w:pStyle w:val="19"/>
        <w:ind w:firstLine="640" w:firstLineChars="200"/>
        <w:jc w:val="left"/>
        <w:rPr>
          <w:rFonts w:ascii="仿宋_GB2312" w:eastAsia="仿宋_GB2312"/>
          <w:sz w:val="32"/>
          <w:szCs w:val="32"/>
        </w:rPr>
      </w:pPr>
      <w:r>
        <w:rPr>
          <w:rFonts w:hint="eastAsia" w:ascii="仿宋_GB2312" w:eastAsia="仿宋_GB2312"/>
          <w:sz w:val="32"/>
          <w:szCs w:val="32"/>
        </w:rPr>
        <w:t>忻州市财政国库集中收付中心</w:t>
      </w:r>
    </w:p>
    <w:p>
      <w:pPr>
        <w:pStyle w:val="19"/>
        <w:ind w:firstLine="480"/>
        <w:jc w:val="left"/>
        <w:rPr>
          <w:rFonts w:ascii="仿宋_GB2312" w:eastAsia="仿宋_GB2312"/>
          <w:sz w:val="32"/>
          <w:szCs w:val="32"/>
        </w:rPr>
      </w:pPr>
      <w:r>
        <w:rPr>
          <w:rFonts w:hint="eastAsia" w:ascii="仿宋_GB2312" w:eastAsia="仿宋_GB2312"/>
          <w:sz w:val="32"/>
          <w:szCs w:val="32"/>
        </w:rPr>
        <w:t xml:space="preserve"> 忻州市财政综合改革服务中心</w:t>
      </w:r>
    </w:p>
    <w:p>
      <w:pPr>
        <w:pStyle w:val="19"/>
        <w:ind w:firstLine="480"/>
        <w:jc w:val="left"/>
        <w:rPr>
          <w:rFonts w:ascii="仿宋_GB2312" w:eastAsia="仿宋_GB2312"/>
          <w:sz w:val="32"/>
          <w:szCs w:val="32"/>
        </w:rPr>
      </w:pPr>
      <w:r>
        <w:rPr>
          <w:rFonts w:hint="eastAsia" w:ascii="仿宋_GB2312" w:eastAsia="仿宋_GB2312"/>
          <w:sz w:val="32"/>
          <w:szCs w:val="32"/>
        </w:rPr>
        <w:t xml:space="preserve"> 忻州市财政数据中心</w:t>
      </w:r>
    </w:p>
    <w:p>
      <w:pPr>
        <w:pStyle w:val="19"/>
        <w:ind w:firstLine="480"/>
        <w:jc w:val="left"/>
        <w:rPr>
          <w:rFonts w:ascii="仿宋_GB2312" w:eastAsia="仿宋_GB2312"/>
          <w:sz w:val="32"/>
          <w:szCs w:val="32"/>
        </w:rPr>
      </w:pPr>
      <w:r>
        <w:rPr>
          <w:rFonts w:hint="eastAsia" w:ascii="仿宋_GB2312" w:eastAsia="仿宋_GB2312"/>
          <w:sz w:val="32"/>
          <w:szCs w:val="32"/>
        </w:rPr>
        <w:t xml:space="preserve"> 忻州市财政局预算投资评审中心</w:t>
      </w:r>
    </w:p>
    <w:p>
      <w:pPr>
        <w:pStyle w:val="19"/>
        <w:ind w:firstLine="480"/>
        <w:jc w:val="left"/>
        <w:rPr>
          <w:rFonts w:hint="eastAsia" w:ascii="仿宋_GB2312" w:eastAsia="仿宋_GB2312"/>
          <w:sz w:val="32"/>
          <w:szCs w:val="32"/>
        </w:rPr>
      </w:pPr>
      <w:r>
        <w:rPr>
          <w:rFonts w:hint="eastAsia" w:ascii="仿宋_GB2312" w:eastAsia="仿宋_GB2312"/>
          <w:sz w:val="32"/>
          <w:szCs w:val="32"/>
        </w:rPr>
        <w:t xml:space="preserve"> 忻州市社会事业服务中心</w:t>
      </w:r>
    </w:p>
    <w:p>
      <w:pPr>
        <w:pStyle w:val="19"/>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注：忻州市财政国库集中收付中心、忻州市财政综合改革服务中心、忻州市财政数据中心、忻州市财政局预算投资评审中心为非独立预算、决算单位，本次决算统一由忻州市财政局局机关合并编制，并按要求予以公开</w:t>
      </w:r>
      <w:bookmarkStart w:id="125" w:name="_GoBack"/>
      <w:bookmarkEnd w:id="125"/>
      <w:r>
        <w:rPr>
          <w:rFonts w:hint="eastAsia" w:ascii="仿宋_GB2312" w:eastAsia="仿宋_GB2312"/>
          <w:sz w:val="32"/>
          <w:szCs w:val="32"/>
          <w:lang w:val="en-US" w:eastAsia="zh-CN"/>
        </w:rPr>
        <w:t>。</w:t>
      </w:r>
    </w:p>
    <w:p>
      <w:pPr>
        <w:pStyle w:val="19"/>
        <w:autoSpaceDN w:val="0"/>
        <w:spacing w:before="156" w:after="156"/>
        <w:rPr>
          <w:rFonts w:ascii="华文中宋" w:hAnsi="华文中宋" w:eastAsia="华文中宋"/>
          <w:sz w:val="32"/>
          <w:szCs w:val="32"/>
        </w:rPr>
      </w:pPr>
    </w:p>
    <w:p>
      <w:pPr>
        <w:pStyle w:val="19"/>
        <w:autoSpaceDN w:val="0"/>
        <w:spacing w:before="156" w:after="156"/>
        <w:rPr>
          <w:rFonts w:ascii="华文中宋" w:hAnsi="华文中宋" w:eastAsia="华文中宋"/>
          <w:sz w:val="32"/>
          <w:szCs w:val="32"/>
        </w:rPr>
      </w:pPr>
    </w:p>
    <w:p>
      <w:pPr>
        <w:pStyle w:val="19"/>
        <w:autoSpaceDN w:val="0"/>
        <w:spacing w:before="156" w:after="156"/>
        <w:rPr>
          <w:rFonts w:ascii="华文中宋" w:hAnsi="华文中宋" w:eastAsia="华文中宋"/>
          <w:sz w:val="32"/>
          <w:szCs w:val="32"/>
        </w:rPr>
      </w:pPr>
    </w:p>
    <w:p>
      <w:pPr>
        <w:pStyle w:val="19"/>
        <w:autoSpaceDN w:val="0"/>
        <w:spacing w:before="156" w:after="156"/>
        <w:rPr>
          <w:rFonts w:ascii="华文中宋" w:hAnsi="华文中宋" w:eastAsia="华文中宋"/>
          <w:sz w:val="32"/>
          <w:szCs w:val="32"/>
        </w:rPr>
      </w:pPr>
    </w:p>
    <w:p>
      <w:pPr>
        <w:pStyle w:val="19"/>
        <w:autoSpaceDN w:val="0"/>
        <w:spacing w:before="156" w:after="156"/>
        <w:rPr>
          <w:rFonts w:ascii="华文中宋" w:hAnsi="华文中宋" w:eastAsia="华文中宋"/>
          <w:sz w:val="32"/>
          <w:szCs w:val="32"/>
        </w:rPr>
      </w:pPr>
    </w:p>
    <w:p>
      <w:pPr>
        <w:pStyle w:val="2"/>
        <w:rPr>
          <w:rFonts w:ascii="黑体" w:hAnsi="黑体" w:eastAsia="黑体"/>
          <w:b w:val="0"/>
          <w:sz w:val="36"/>
          <w:szCs w:val="36"/>
        </w:rPr>
      </w:pPr>
      <w:bookmarkStart w:id="12" w:name="_Toc115186317"/>
      <w:bookmarkStart w:id="13" w:name="_Toc115186582"/>
      <w:bookmarkStart w:id="14" w:name="_Toc115187265"/>
      <w:bookmarkStart w:id="15" w:name="_Toc115193444"/>
      <w:r>
        <w:rPr>
          <w:rFonts w:hint="eastAsia" w:ascii="黑体" w:hAnsi="黑体" w:eastAsia="黑体"/>
          <w:b w:val="0"/>
          <w:sz w:val="36"/>
          <w:szCs w:val="36"/>
        </w:rPr>
        <w:t>第二部分  2021年度部门决算报表</w:t>
      </w:r>
      <w:bookmarkEnd w:id="12"/>
      <w:bookmarkEnd w:id="13"/>
      <w:bookmarkEnd w:id="14"/>
      <w:bookmarkEnd w:id="15"/>
    </w:p>
    <w:p>
      <w:pPr>
        <w:pStyle w:val="19"/>
        <w:autoSpaceDN w:val="0"/>
        <w:spacing w:before="156" w:after="156"/>
        <w:ind w:firstLine="640" w:firstLineChars="200"/>
        <w:jc w:val="center"/>
        <w:rPr>
          <w:rFonts w:ascii="楷体" w:hAnsi="楷体" w:eastAsia="楷体"/>
          <w:sz w:val="32"/>
          <w:szCs w:val="32"/>
        </w:rPr>
      </w:pPr>
      <w:r>
        <w:rPr>
          <w:rFonts w:hint="eastAsia" w:ascii="楷体" w:hAnsi="楷体" w:eastAsia="楷体"/>
          <w:sz w:val="32"/>
          <w:szCs w:val="32"/>
        </w:rPr>
        <w:t>（详见忻州市财政局部门附件1)</w:t>
      </w:r>
    </w:p>
    <w:p>
      <w:pPr>
        <w:pStyle w:val="3"/>
        <w:spacing w:before="0" w:after="0" w:line="240" w:lineRule="auto"/>
        <w:rPr>
          <w:rFonts w:ascii="楷体" w:hAnsi="楷体" w:eastAsia="楷体"/>
          <w:b w:val="0"/>
        </w:rPr>
      </w:pPr>
      <w:bookmarkStart w:id="16" w:name="_Toc115186318"/>
      <w:bookmarkStart w:id="17" w:name="_Toc115186583"/>
      <w:bookmarkStart w:id="18" w:name="_Toc115187266"/>
      <w:bookmarkStart w:id="19" w:name="_Toc115193445"/>
      <w:r>
        <w:rPr>
          <w:rFonts w:hint="eastAsia" w:ascii="楷体" w:hAnsi="楷体" w:eastAsia="楷体"/>
          <w:b w:val="0"/>
        </w:rPr>
        <w:t>一、收入支出决算总表</w:t>
      </w:r>
      <w:bookmarkEnd w:id="16"/>
      <w:bookmarkEnd w:id="17"/>
      <w:bookmarkEnd w:id="18"/>
      <w:bookmarkEnd w:id="19"/>
    </w:p>
    <w:p>
      <w:pPr>
        <w:pStyle w:val="3"/>
        <w:spacing w:before="0" w:after="0" w:line="240" w:lineRule="auto"/>
        <w:rPr>
          <w:rFonts w:ascii="楷体" w:hAnsi="楷体" w:eastAsia="楷体"/>
          <w:b w:val="0"/>
        </w:rPr>
      </w:pPr>
      <w:bookmarkStart w:id="20" w:name="_Toc115186319"/>
      <w:bookmarkStart w:id="21" w:name="_Toc115186584"/>
      <w:bookmarkStart w:id="22" w:name="_Toc115187267"/>
      <w:bookmarkStart w:id="23" w:name="_Toc115193446"/>
      <w:r>
        <w:rPr>
          <w:rFonts w:hint="eastAsia" w:ascii="楷体" w:hAnsi="楷体" w:eastAsia="楷体"/>
          <w:b w:val="0"/>
        </w:rPr>
        <w:t>二、收入决算表</w:t>
      </w:r>
      <w:bookmarkEnd w:id="20"/>
      <w:bookmarkEnd w:id="21"/>
      <w:bookmarkEnd w:id="22"/>
      <w:bookmarkEnd w:id="23"/>
    </w:p>
    <w:p>
      <w:pPr>
        <w:pStyle w:val="3"/>
        <w:spacing w:before="0" w:after="0" w:line="240" w:lineRule="auto"/>
        <w:rPr>
          <w:rFonts w:ascii="楷体" w:hAnsi="楷体" w:eastAsia="楷体"/>
          <w:b w:val="0"/>
        </w:rPr>
      </w:pPr>
      <w:bookmarkStart w:id="24" w:name="_Toc115186320"/>
      <w:bookmarkStart w:id="25" w:name="_Toc115186585"/>
      <w:bookmarkStart w:id="26" w:name="_Toc115187268"/>
      <w:bookmarkStart w:id="27" w:name="_Toc115193447"/>
      <w:r>
        <w:rPr>
          <w:rFonts w:hint="eastAsia" w:ascii="楷体" w:hAnsi="楷体" w:eastAsia="楷体"/>
          <w:b w:val="0"/>
        </w:rPr>
        <w:t>三、支出决算表</w:t>
      </w:r>
      <w:bookmarkEnd w:id="24"/>
      <w:bookmarkEnd w:id="25"/>
      <w:bookmarkEnd w:id="26"/>
      <w:bookmarkEnd w:id="27"/>
    </w:p>
    <w:p>
      <w:pPr>
        <w:pStyle w:val="3"/>
        <w:spacing w:before="0" w:after="0" w:line="240" w:lineRule="auto"/>
        <w:rPr>
          <w:rFonts w:ascii="楷体" w:hAnsi="楷体" w:eastAsia="楷体"/>
          <w:b w:val="0"/>
        </w:rPr>
      </w:pPr>
      <w:bookmarkStart w:id="28" w:name="_Toc115186321"/>
      <w:bookmarkStart w:id="29" w:name="_Toc115186586"/>
      <w:bookmarkStart w:id="30" w:name="_Toc115187269"/>
      <w:bookmarkStart w:id="31" w:name="_Toc115193448"/>
      <w:r>
        <w:rPr>
          <w:rFonts w:hint="eastAsia" w:ascii="楷体" w:hAnsi="楷体" w:eastAsia="楷体"/>
          <w:b w:val="0"/>
        </w:rPr>
        <w:t>四、财政拨款收入支出决算总表</w:t>
      </w:r>
      <w:bookmarkEnd w:id="28"/>
      <w:bookmarkEnd w:id="29"/>
      <w:bookmarkEnd w:id="30"/>
      <w:bookmarkEnd w:id="31"/>
    </w:p>
    <w:p>
      <w:pPr>
        <w:pStyle w:val="3"/>
        <w:spacing w:before="0" w:after="0" w:line="240" w:lineRule="auto"/>
        <w:rPr>
          <w:rFonts w:ascii="楷体" w:hAnsi="楷体" w:eastAsia="楷体"/>
          <w:b w:val="0"/>
        </w:rPr>
      </w:pPr>
      <w:bookmarkStart w:id="32" w:name="_Toc115186322"/>
      <w:bookmarkStart w:id="33" w:name="_Toc115186587"/>
      <w:bookmarkStart w:id="34" w:name="_Toc115187270"/>
      <w:bookmarkStart w:id="35" w:name="_Toc115193449"/>
      <w:r>
        <w:rPr>
          <w:rFonts w:hint="eastAsia" w:ascii="楷体" w:hAnsi="楷体" w:eastAsia="楷体"/>
          <w:b w:val="0"/>
        </w:rPr>
        <w:t>五、一般公共预算财政拨款支出决算表（一）</w:t>
      </w:r>
      <w:bookmarkEnd w:id="32"/>
      <w:bookmarkEnd w:id="33"/>
      <w:bookmarkEnd w:id="34"/>
      <w:bookmarkEnd w:id="35"/>
    </w:p>
    <w:p>
      <w:pPr>
        <w:pStyle w:val="3"/>
        <w:spacing w:before="0" w:after="0" w:line="240" w:lineRule="auto"/>
        <w:rPr>
          <w:rFonts w:ascii="楷体" w:hAnsi="楷体" w:eastAsia="楷体"/>
          <w:b w:val="0"/>
        </w:rPr>
      </w:pPr>
      <w:bookmarkStart w:id="36" w:name="_Toc115186323"/>
      <w:bookmarkStart w:id="37" w:name="_Toc115186588"/>
      <w:bookmarkStart w:id="38" w:name="_Toc115187271"/>
      <w:bookmarkStart w:id="39" w:name="_Toc115193450"/>
      <w:r>
        <w:rPr>
          <w:rFonts w:hint="eastAsia" w:ascii="楷体" w:hAnsi="楷体" w:eastAsia="楷体"/>
          <w:b w:val="0"/>
        </w:rPr>
        <w:t>六、一般公共预算财政拨款支出决算表（二）</w:t>
      </w:r>
      <w:bookmarkEnd w:id="36"/>
      <w:bookmarkEnd w:id="37"/>
      <w:bookmarkEnd w:id="38"/>
      <w:bookmarkEnd w:id="39"/>
    </w:p>
    <w:p>
      <w:pPr>
        <w:pStyle w:val="3"/>
        <w:spacing w:before="0" w:after="0" w:line="240" w:lineRule="auto"/>
        <w:rPr>
          <w:rFonts w:ascii="楷体" w:hAnsi="楷体" w:eastAsia="楷体"/>
          <w:b w:val="0"/>
        </w:rPr>
      </w:pPr>
      <w:bookmarkStart w:id="40" w:name="_Toc115186324"/>
      <w:bookmarkStart w:id="41" w:name="_Toc115186589"/>
      <w:bookmarkStart w:id="42" w:name="_Toc115187272"/>
      <w:bookmarkStart w:id="43" w:name="_Toc115193451"/>
      <w:r>
        <w:rPr>
          <w:rFonts w:hint="eastAsia" w:ascii="楷体" w:hAnsi="楷体" w:eastAsia="楷体"/>
          <w:b w:val="0"/>
        </w:rPr>
        <w:t>七、一般公共预算财政拨款“三公”经费支出决算表</w:t>
      </w:r>
      <w:bookmarkEnd w:id="40"/>
      <w:bookmarkEnd w:id="41"/>
      <w:bookmarkEnd w:id="42"/>
      <w:bookmarkEnd w:id="43"/>
    </w:p>
    <w:p>
      <w:pPr>
        <w:pStyle w:val="3"/>
        <w:spacing w:before="0" w:after="0" w:line="240" w:lineRule="auto"/>
        <w:rPr>
          <w:rFonts w:ascii="楷体" w:hAnsi="楷体" w:eastAsia="楷体"/>
          <w:b w:val="0"/>
        </w:rPr>
      </w:pPr>
      <w:bookmarkStart w:id="44" w:name="_Toc115186325"/>
      <w:bookmarkStart w:id="45" w:name="_Toc115186590"/>
      <w:bookmarkStart w:id="46" w:name="_Toc115187273"/>
      <w:bookmarkStart w:id="47" w:name="_Toc115193452"/>
      <w:r>
        <w:rPr>
          <w:rFonts w:hint="eastAsia" w:ascii="楷体" w:hAnsi="楷体" w:eastAsia="楷体"/>
          <w:b w:val="0"/>
        </w:rPr>
        <w:t>八、政府性基金预算财政拨款收入支出决算表</w:t>
      </w:r>
      <w:bookmarkEnd w:id="44"/>
      <w:bookmarkEnd w:id="45"/>
      <w:bookmarkEnd w:id="46"/>
      <w:bookmarkEnd w:id="47"/>
    </w:p>
    <w:p>
      <w:pPr>
        <w:pStyle w:val="3"/>
        <w:spacing w:before="0" w:after="0" w:line="240" w:lineRule="auto"/>
        <w:rPr>
          <w:rFonts w:ascii="楷体" w:hAnsi="楷体" w:eastAsia="楷体"/>
          <w:b w:val="0"/>
        </w:rPr>
      </w:pPr>
      <w:bookmarkStart w:id="48" w:name="_Toc115186326"/>
      <w:bookmarkStart w:id="49" w:name="_Toc115186591"/>
      <w:bookmarkStart w:id="50" w:name="_Toc115187274"/>
      <w:bookmarkStart w:id="51" w:name="_Toc115193453"/>
      <w:r>
        <w:rPr>
          <w:rFonts w:hint="eastAsia" w:ascii="楷体" w:hAnsi="楷体" w:eastAsia="楷体"/>
          <w:b w:val="0"/>
        </w:rPr>
        <w:t>九、国有资本经营预算财政拨款支出决算表</w:t>
      </w:r>
      <w:bookmarkEnd w:id="48"/>
      <w:bookmarkEnd w:id="49"/>
      <w:bookmarkEnd w:id="50"/>
      <w:bookmarkEnd w:id="51"/>
    </w:p>
    <w:p>
      <w:pPr>
        <w:pStyle w:val="3"/>
        <w:spacing w:before="0" w:after="0" w:line="240" w:lineRule="auto"/>
        <w:rPr>
          <w:rFonts w:ascii="楷体" w:hAnsi="楷体" w:eastAsia="楷体"/>
        </w:rPr>
      </w:pPr>
      <w:bookmarkStart w:id="52" w:name="_Toc115186327"/>
      <w:bookmarkStart w:id="53" w:name="_Toc115186592"/>
      <w:bookmarkStart w:id="54" w:name="_Toc115187275"/>
      <w:bookmarkStart w:id="55" w:name="_Toc115193454"/>
      <w:r>
        <w:rPr>
          <w:rFonts w:hint="eastAsia" w:ascii="楷体" w:hAnsi="楷体" w:eastAsia="楷体"/>
          <w:b w:val="0"/>
        </w:rPr>
        <w:t>十、部门决算公开相关信息统计表</w:t>
      </w:r>
      <w:bookmarkEnd w:id="52"/>
      <w:bookmarkEnd w:id="53"/>
      <w:bookmarkEnd w:id="54"/>
      <w:bookmarkEnd w:id="55"/>
    </w:p>
    <w:p>
      <w:pPr>
        <w:pStyle w:val="19"/>
        <w:autoSpaceDN w:val="0"/>
        <w:spacing w:beforeLines="50" w:afterLines="50"/>
        <w:ind w:firstLine="640" w:firstLineChars="200"/>
        <w:rPr>
          <w:rFonts w:ascii="黑体" w:hAnsi="黑体" w:eastAsia="黑体"/>
          <w:sz w:val="32"/>
          <w:szCs w:val="32"/>
        </w:rPr>
      </w:pPr>
    </w:p>
    <w:p>
      <w:pPr>
        <w:pStyle w:val="19"/>
        <w:autoSpaceDN w:val="0"/>
        <w:spacing w:beforeLines="50" w:afterLines="50"/>
        <w:ind w:firstLine="640" w:firstLineChars="200"/>
        <w:rPr>
          <w:rFonts w:ascii="黑体" w:hAnsi="黑体" w:eastAsia="黑体"/>
          <w:sz w:val="32"/>
          <w:szCs w:val="32"/>
        </w:rPr>
      </w:pPr>
    </w:p>
    <w:p>
      <w:pPr>
        <w:pStyle w:val="19"/>
        <w:autoSpaceDN w:val="0"/>
        <w:spacing w:beforeLines="50" w:afterLines="50"/>
        <w:ind w:firstLine="640" w:firstLineChars="200"/>
        <w:rPr>
          <w:rFonts w:ascii="黑体" w:hAnsi="黑体" w:eastAsia="黑体"/>
          <w:sz w:val="32"/>
          <w:szCs w:val="32"/>
        </w:rPr>
      </w:pPr>
    </w:p>
    <w:p>
      <w:pPr>
        <w:pStyle w:val="19"/>
        <w:autoSpaceDN w:val="0"/>
        <w:spacing w:beforeLines="50" w:afterLines="50"/>
        <w:ind w:firstLine="640" w:firstLineChars="200"/>
        <w:rPr>
          <w:rFonts w:ascii="黑体" w:hAnsi="黑体" w:eastAsia="黑体"/>
          <w:sz w:val="32"/>
          <w:szCs w:val="32"/>
        </w:rPr>
      </w:pPr>
    </w:p>
    <w:p>
      <w:pPr>
        <w:pStyle w:val="19"/>
        <w:autoSpaceDN w:val="0"/>
        <w:spacing w:beforeLines="50" w:afterLines="50"/>
        <w:ind w:firstLine="640" w:firstLineChars="200"/>
        <w:rPr>
          <w:rFonts w:ascii="黑体" w:hAnsi="黑体" w:eastAsia="黑体"/>
          <w:sz w:val="32"/>
          <w:szCs w:val="32"/>
        </w:rPr>
      </w:pPr>
    </w:p>
    <w:p>
      <w:pPr>
        <w:pStyle w:val="2"/>
        <w:rPr>
          <w:rFonts w:ascii="黑体" w:hAnsi="黑体" w:eastAsia="黑体"/>
          <w:b w:val="0"/>
          <w:sz w:val="36"/>
          <w:szCs w:val="36"/>
        </w:rPr>
      </w:pPr>
      <w:bookmarkStart w:id="56" w:name="_Toc115186328"/>
      <w:bookmarkStart w:id="57" w:name="_Toc115186593"/>
      <w:bookmarkStart w:id="58" w:name="_Toc115187276"/>
      <w:bookmarkStart w:id="59" w:name="_Toc115193455"/>
      <w:r>
        <w:rPr>
          <w:rFonts w:hint="eastAsia" w:ascii="黑体" w:hAnsi="黑体" w:eastAsia="黑体"/>
          <w:b w:val="0"/>
          <w:sz w:val="36"/>
          <w:szCs w:val="36"/>
        </w:rPr>
        <w:t>第三部分  2021年度部门决算情况说明</w:t>
      </w:r>
      <w:bookmarkEnd w:id="56"/>
      <w:bookmarkEnd w:id="57"/>
      <w:bookmarkEnd w:id="58"/>
      <w:bookmarkEnd w:id="59"/>
    </w:p>
    <w:p>
      <w:pPr>
        <w:pStyle w:val="3"/>
        <w:spacing w:beforeLines="20" w:afterLines="20" w:line="240" w:lineRule="auto"/>
        <w:ind w:firstLine="640" w:firstLineChars="200"/>
        <w:rPr>
          <w:rFonts w:ascii="楷体" w:hAnsi="楷体" w:eastAsia="楷体"/>
          <w:b w:val="0"/>
        </w:rPr>
      </w:pPr>
      <w:bookmarkStart w:id="60" w:name="_Toc115186329"/>
      <w:bookmarkStart w:id="61" w:name="_Toc115186594"/>
      <w:bookmarkStart w:id="62" w:name="_Toc115187277"/>
      <w:bookmarkStart w:id="63" w:name="_Toc115193456"/>
      <w:r>
        <w:rPr>
          <w:rFonts w:hint="eastAsia" w:ascii="楷体" w:hAnsi="楷体" w:eastAsia="楷体"/>
          <w:b w:val="0"/>
        </w:rPr>
        <w:t>一、收入支出决算总体情况说明</w:t>
      </w:r>
      <w:bookmarkEnd w:id="60"/>
      <w:bookmarkEnd w:id="61"/>
      <w:bookmarkEnd w:id="62"/>
      <w:bookmarkEnd w:id="63"/>
    </w:p>
    <w:p>
      <w:pPr>
        <w:autoSpaceDN w:val="0"/>
        <w:ind w:firstLine="640" w:firstLineChars="200"/>
        <w:rPr>
          <w:rFonts w:ascii="仿宋_GB2312" w:hAnsi="仿宋" w:eastAsia="仿宋_GB2312" w:cs="仿宋"/>
          <w:sz w:val="32"/>
          <w:szCs w:val="32"/>
        </w:rPr>
      </w:pPr>
      <w:r>
        <w:rPr>
          <w:rFonts w:hint="eastAsia" w:ascii="仿宋_GB2312" w:eastAsia="仿宋_GB2312"/>
          <w:sz w:val="32"/>
          <w:szCs w:val="32"/>
        </w:rPr>
        <w:t>2021年度收入总计10,667.08万元、支出总计10,667.08万元。与2020年相比，收入增加2,279.50万元、增长27.18%，支出增加2,279.50万元、增长27.18%。主要原因：一是</w:t>
      </w:r>
      <w:r>
        <w:rPr>
          <w:rFonts w:hint="eastAsia" w:ascii="仿宋_GB2312" w:hAnsi="仿宋" w:eastAsia="仿宋_GB2312" w:cs="仿宋"/>
          <w:sz w:val="32"/>
          <w:szCs w:val="32"/>
        </w:rPr>
        <w:t>增加了部分项目配套资金以及大额项目的支出；二是所属事业单位机构改革，其在职人员合并至局机关，人员经费增加，以及公用经费定额标准提升。</w:t>
      </w:r>
    </w:p>
    <w:p>
      <w:pPr>
        <w:pStyle w:val="3"/>
        <w:spacing w:beforeLines="20" w:afterLines="20" w:line="240" w:lineRule="auto"/>
        <w:ind w:firstLine="640" w:firstLineChars="200"/>
        <w:rPr>
          <w:rFonts w:ascii="楷体" w:hAnsi="楷体" w:eastAsia="楷体"/>
          <w:b w:val="0"/>
        </w:rPr>
      </w:pPr>
      <w:bookmarkStart w:id="64" w:name="_Toc115186330"/>
      <w:bookmarkStart w:id="65" w:name="_Toc115186595"/>
      <w:bookmarkStart w:id="66" w:name="_Toc115187278"/>
      <w:bookmarkStart w:id="67" w:name="_Toc115193457"/>
      <w:r>
        <w:rPr>
          <w:rFonts w:hint="eastAsia" w:ascii="楷体" w:hAnsi="楷体" w:eastAsia="楷体"/>
          <w:b w:val="0"/>
        </w:rPr>
        <w:t>二、收入决算情况说明</w:t>
      </w:r>
      <w:bookmarkEnd w:id="64"/>
      <w:bookmarkEnd w:id="65"/>
      <w:bookmarkEnd w:id="66"/>
      <w:bookmarkEnd w:id="67"/>
    </w:p>
    <w:p>
      <w:pPr>
        <w:pStyle w:val="19"/>
        <w:autoSpaceDN w:val="0"/>
        <w:ind w:firstLine="640"/>
        <w:rPr>
          <w:rFonts w:ascii="仿宋_GB2312" w:eastAsia="仿宋_GB2312"/>
          <w:sz w:val="32"/>
          <w:szCs w:val="32"/>
        </w:rPr>
      </w:pPr>
      <w:r>
        <w:rPr>
          <w:rFonts w:hint="eastAsia" w:ascii="仿宋_GB2312" w:eastAsia="仿宋_GB2312"/>
          <w:sz w:val="32"/>
          <w:szCs w:val="32"/>
        </w:rPr>
        <w:t>2021年度收入合计10,667.08万元，其中：财政拨款收入10,051.08万元，占比94.23%；政府性基金预算616万元，占比5.77%；国有资本经营预算收入0万元，占比0%；上级补助收入0万元，占比0%；事业收入0万元，占比0%; 经营收入0万元，占比0%；附属单位上缴收入0万元，占比0%；其他收入0.004万元，占比近0%。</w:t>
      </w:r>
    </w:p>
    <w:p>
      <w:pPr>
        <w:pStyle w:val="3"/>
        <w:spacing w:beforeLines="20" w:afterLines="20" w:line="240" w:lineRule="auto"/>
        <w:ind w:firstLine="640" w:firstLineChars="200"/>
        <w:rPr>
          <w:rFonts w:ascii="楷体" w:hAnsi="楷体" w:eastAsia="楷体"/>
          <w:b w:val="0"/>
        </w:rPr>
      </w:pPr>
      <w:bookmarkStart w:id="68" w:name="_Toc115186331"/>
      <w:bookmarkStart w:id="69" w:name="_Toc115186596"/>
      <w:bookmarkStart w:id="70" w:name="_Toc115187279"/>
      <w:bookmarkStart w:id="71" w:name="_Toc115193458"/>
      <w:r>
        <w:rPr>
          <w:rFonts w:hint="eastAsia" w:ascii="楷体" w:hAnsi="楷体" w:eastAsia="楷体"/>
          <w:b w:val="0"/>
        </w:rPr>
        <w:t>三、支出决算情况说明</w:t>
      </w:r>
      <w:bookmarkEnd w:id="68"/>
      <w:bookmarkEnd w:id="69"/>
      <w:bookmarkEnd w:id="70"/>
      <w:bookmarkEnd w:id="71"/>
    </w:p>
    <w:p>
      <w:pPr>
        <w:pStyle w:val="19"/>
        <w:ind w:firstLine="640"/>
        <w:rPr>
          <w:rFonts w:ascii="仿宋_GB2312" w:eastAsia="仿宋_GB2312"/>
          <w:sz w:val="32"/>
          <w:szCs w:val="32"/>
        </w:rPr>
      </w:pPr>
      <w:r>
        <w:rPr>
          <w:rFonts w:hint="eastAsia" w:ascii="仿宋_GB2312" w:eastAsia="仿宋_GB2312"/>
          <w:sz w:val="32"/>
          <w:szCs w:val="32"/>
        </w:rPr>
        <w:t>2021年度支出合计10,667.08万元，其中：基本支出1,823.27万元，占比17.09%；项目支出8,843.81万元，占比82.91%；上缴上级支出0万元，占比0%；经营支出0万元，占比0%；对附属单位补助支出0万元，占比0%。</w:t>
      </w:r>
    </w:p>
    <w:p>
      <w:pPr>
        <w:pStyle w:val="3"/>
        <w:spacing w:beforeLines="20" w:afterLines="20" w:line="240" w:lineRule="auto"/>
        <w:ind w:firstLine="640" w:firstLineChars="200"/>
        <w:rPr>
          <w:rFonts w:ascii="楷体" w:hAnsi="楷体" w:eastAsia="楷体"/>
          <w:b w:val="0"/>
        </w:rPr>
      </w:pPr>
      <w:bookmarkStart w:id="72" w:name="_Toc115186332"/>
      <w:bookmarkStart w:id="73" w:name="_Toc115186597"/>
      <w:bookmarkStart w:id="74" w:name="_Toc115187280"/>
      <w:bookmarkStart w:id="75" w:name="_Toc115193459"/>
      <w:r>
        <w:rPr>
          <w:rFonts w:hint="eastAsia" w:ascii="楷体" w:hAnsi="楷体" w:eastAsia="楷体"/>
          <w:b w:val="0"/>
        </w:rPr>
        <w:t>四、财政拨款收入支出决算总体情况说明</w:t>
      </w:r>
      <w:bookmarkEnd w:id="72"/>
      <w:bookmarkEnd w:id="73"/>
      <w:bookmarkEnd w:id="74"/>
      <w:bookmarkEnd w:id="75"/>
    </w:p>
    <w:p>
      <w:pPr>
        <w:pStyle w:val="19"/>
        <w:ind w:firstLine="640"/>
        <w:rPr>
          <w:rFonts w:ascii="仿宋_GB2312" w:eastAsia="仿宋_GB2312"/>
          <w:sz w:val="32"/>
          <w:szCs w:val="32"/>
        </w:rPr>
      </w:pPr>
      <w:r>
        <w:rPr>
          <w:rFonts w:hint="eastAsia" w:ascii="仿宋_GB2312" w:eastAsia="仿宋_GB2312"/>
          <w:sz w:val="32"/>
          <w:szCs w:val="32"/>
        </w:rPr>
        <w:t>2021年度财政拨款收入总计10,667.08万元、支出总计10,667.08万元。与2020年相比，财政拨款收入总计增加2,279.50万元，增长27.18%。主要原因一是</w:t>
      </w:r>
      <w:r>
        <w:rPr>
          <w:rFonts w:hint="eastAsia" w:ascii="仿宋_GB2312" w:hAnsi="仿宋" w:eastAsia="仿宋_GB2312" w:cs="仿宋"/>
          <w:sz w:val="32"/>
          <w:szCs w:val="32"/>
        </w:rPr>
        <w:t>所属事业单位机构改革，其在职人员部分合并至局机关，人员经费以及公用经费定额标准均增加；二是增加了部分项目配套资金以及大额项目的支出；除上述项目外，其余项目支出预算做了适当调整和压减。</w:t>
      </w:r>
    </w:p>
    <w:p>
      <w:pPr>
        <w:pStyle w:val="3"/>
        <w:spacing w:beforeLines="20" w:afterLines="20" w:line="240" w:lineRule="auto"/>
        <w:ind w:firstLine="640" w:firstLineChars="200"/>
        <w:rPr>
          <w:rFonts w:ascii="楷体" w:hAnsi="楷体" w:eastAsia="楷体"/>
          <w:b w:val="0"/>
        </w:rPr>
      </w:pPr>
      <w:bookmarkStart w:id="76" w:name="_Toc115186333"/>
      <w:bookmarkStart w:id="77" w:name="_Toc115186598"/>
      <w:bookmarkStart w:id="78" w:name="_Toc115187281"/>
      <w:bookmarkStart w:id="79" w:name="_Toc115193460"/>
      <w:r>
        <w:rPr>
          <w:rFonts w:hint="eastAsia" w:ascii="楷体" w:hAnsi="楷体" w:eastAsia="楷体"/>
          <w:b w:val="0"/>
        </w:rPr>
        <w:t>五、一般公共预算财政拨款支出决算情况说明</w:t>
      </w:r>
      <w:bookmarkEnd w:id="76"/>
      <w:bookmarkEnd w:id="77"/>
      <w:bookmarkEnd w:id="78"/>
      <w:bookmarkEnd w:id="79"/>
    </w:p>
    <w:p>
      <w:pPr>
        <w:pStyle w:val="4"/>
        <w:spacing w:beforeLines="20" w:afterLines="20" w:line="240" w:lineRule="auto"/>
        <w:ind w:firstLine="640" w:firstLineChars="200"/>
        <w:rPr>
          <w:rFonts w:ascii="楷体" w:hAnsi="楷体" w:eastAsia="楷体"/>
          <w:b w:val="0"/>
        </w:rPr>
      </w:pPr>
      <w:bookmarkStart w:id="80" w:name="_Toc115187282"/>
      <w:bookmarkStart w:id="81" w:name="_Toc115193461"/>
      <w:r>
        <w:rPr>
          <w:rFonts w:hint="eastAsia" w:ascii="楷体" w:hAnsi="楷体" w:eastAsia="楷体"/>
          <w:b w:val="0"/>
        </w:rPr>
        <w:t>（一）财政拨款支出决算总体情况</w:t>
      </w:r>
      <w:bookmarkEnd w:id="80"/>
      <w:bookmarkEnd w:id="81"/>
    </w:p>
    <w:p>
      <w:pPr>
        <w:pStyle w:val="19"/>
        <w:ind w:firstLine="640"/>
        <w:rPr>
          <w:rFonts w:ascii="仿宋_GB2312" w:eastAsia="仿宋_GB2312"/>
          <w:color w:val="538CD5"/>
          <w:sz w:val="32"/>
          <w:szCs w:val="32"/>
        </w:rPr>
      </w:pPr>
      <w:r>
        <w:rPr>
          <w:rFonts w:hint="eastAsia" w:ascii="仿宋_GB2312" w:eastAsia="仿宋_GB2312"/>
          <w:sz w:val="32"/>
          <w:szCs w:val="32"/>
        </w:rPr>
        <w:t>2021年度财政拨款支出10,051.08万元，占本年支出合计的94.23%。与2020年相比，财政拨款支出增加1,663.50万元，增长19.83%。主要原因一是</w:t>
      </w:r>
      <w:r>
        <w:rPr>
          <w:rFonts w:hint="eastAsia" w:ascii="仿宋_GB2312" w:hAnsi="仿宋" w:eastAsia="仿宋_GB2312" w:cs="仿宋"/>
          <w:sz w:val="32"/>
          <w:szCs w:val="32"/>
        </w:rPr>
        <w:t>所属事业单位机构改革，其在职人员部分合并至局机关，人员经费以及公用经费定额标准均增加；二是2021年度新增部分大额项目，其余项目支出预算做了适当调整和压减。</w:t>
      </w:r>
      <w:r>
        <w:rPr>
          <w:rFonts w:hint="eastAsia" w:ascii="仿宋_GB2312" w:eastAsia="仿宋_GB2312"/>
          <w:sz w:val="32"/>
          <w:szCs w:val="32"/>
        </w:rPr>
        <w:t>其中，人员经费1,511.46万元，占比15.04%，公用经费8,539.62万元，占比84.96%。</w:t>
      </w:r>
    </w:p>
    <w:p>
      <w:pPr>
        <w:pStyle w:val="4"/>
        <w:spacing w:beforeLines="20" w:afterLines="20" w:line="240" w:lineRule="auto"/>
        <w:ind w:firstLine="640" w:firstLineChars="200"/>
        <w:rPr>
          <w:rFonts w:ascii="楷体" w:hAnsi="楷体" w:eastAsia="楷体"/>
          <w:b w:val="0"/>
        </w:rPr>
      </w:pPr>
      <w:bookmarkStart w:id="82" w:name="_Toc115187283"/>
      <w:bookmarkStart w:id="83" w:name="_Toc115193462"/>
      <w:r>
        <w:rPr>
          <w:rFonts w:hint="eastAsia" w:ascii="楷体" w:hAnsi="楷体" w:eastAsia="楷体"/>
          <w:b w:val="0"/>
        </w:rPr>
        <w:t>（二）财政拨款支出决算结构情况</w:t>
      </w:r>
      <w:bookmarkEnd w:id="82"/>
      <w:bookmarkEnd w:id="83"/>
    </w:p>
    <w:p>
      <w:pPr>
        <w:pStyle w:val="19"/>
        <w:rPr>
          <w:rFonts w:ascii="仿宋_GB2312" w:eastAsia="仿宋_GB2312"/>
          <w:sz w:val="32"/>
          <w:szCs w:val="32"/>
        </w:rPr>
      </w:pPr>
      <w:r>
        <w:rPr>
          <w:rFonts w:hint="eastAsia" w:ascii="仿宋_GB2312" w:eastAsia="仿宋_GB2312"/>
          <w:sz w:val="32"/>
          <w:szCs w:val="32"/>
        </w:rPr>
        <w:t xml:space="preserve">    2021年度财政拨款支出10,051.08万元，主要用于以下方面：</w:t>
      </w:r>
      <w:r>
        <w:rPr>
          <w:rFonts w:hint="eastAsia" w:ascii="仿宋_GB2312" w:eastAsia="仿宋_GB2312"/>
          <w:b/>
          <w:bCs/>
          <w:sz w:val="32"/>
          <w:szCs w:val="32"/>
        </w:rPr>
        <w:t>一般公共服务（类）</w:t>
      </w:r>
      <w:r>
        <w:rPr>
          <w:rFonts w:hint="eastAsia" w:ascii="仿宋_GB2312" w:eastAsia="仿宋_GB2312"/>
          <w:sz w:val="32"/>
          <w:szCs w:val="32"/>
        </w:rPr>
        <w:t>支出3,309.84万元，占32.93%；</w:t>
      </w:r>
      <w:r>
        <w:rPr>
          <w:rFonts w:hint="eastAsia" w:ascii="仿宋_GB2312" w:eastAsia="仿宋_GB2312"/>
          <w:b/>
          <w:bCs/>
          <w:sz w:val="32"/>
          <w:szCs w:val="32"/>
        </w:rPr>
        <w:t>教育（类）</w:t>
      </w:r>
      <w:r>
        <w:rPr>
          <w:rFonts w:hint="eastAsia" w:ascii="仿宋_GB2312" w:eastAsia="仿宋_GB2312"/>
          <w:sz w:val="32"/>
          <w:szCs w:val="32"/>
        </w:rPr>
        <w:t>0.02万元，占0.00%；</w:t>
      </w:r>
      <w:r>
        <w:rPr>
          <w:rFonts w:hint="eastAsia" w:ascii="仿宋_GB2312" w:eastAsia="仿宋_GB2312"/>
          <w:b/>
          <w:bCs/>
          <w:sz w:val="32"/>
          <w:szCs w:val="32"/>
        </w:rPr>
        <w:t>社会保障和就业（类）</w:t>
      </w:r>
      <w:r>
        <w:rPr>
          <w:rFonts w:hint="eastAsia" w:ascii="仿宋_GB2312" w:eastAsia="仿宋_GB2312"/>
          <w:sz w:val="32"/>
          <w:szCs w:val="32"/>
        </w:rPr>
        <w:t>146.48万元，占1.46%；</w:t>
      </w:r>
      <w:r>
        <w:rPr>
          <w:rFonts w:hint="eastAsia" w:ascii="仿宋_GB2312" w:eastAsia="仿宋_GB2312"/>
          <w:b/>
          <w:bCs/>
          <w:sz w:val="32"/>
          <w:szCs w:val="32"/>
        </w:rPr>
        <w:t>卫生健康（类）</w:t>
      </w:r>
      <w:r>
        <w:rPr>
          <w:rFonts w:hint="eastAsia" w:ascii="仿宋_GB2312" w:eastAsia="仿宋_GB2312"/>
          <w:sz w:val="32"/>
          <w:szCs w:val="32"/>
        </w:rPr>
        <w:t>60.90万元，占0.61%；</w:t>
      </w:r>
      <w:r>
        <w:rPr>
          <w:rFonts w:hint="eastAsia" w:ascii="仿宋_GB2312" w:eastAsia="仿宋_GB2312"/>
          <w:b/>
          <w:bCs/>
          <w:sz w:val="32"/>
          <w:szCs w:val="32"/>
        </w:rPr>
        <w:t>城乡社区（类）</w:t>
      </w:r>
      <w:r>
        <w:rPr>
          <w:rFonts w:hint="eastAsia" w:ascii="仿宋_GB2312" w:eastAsia="仿宋_GB2312"/>
          <w:sz w:val="32"/>
          <w:szCs w:val="32"/>
        </w:rPr>
        <w:t>4,803万元，占47.79%；</w:t>
      </w:r>
      <w:r>
        <w:rPr>
          <w:rFonts w:hint="eastAsia" w:ascii="仿宋_GB2312" w:eastAsia="仿宋_GB2312"/>
          <w:b/>
          <w:bCs/>
          <w:sz w:val="32"/>
          <w:szCs w:val="32"/>
        </w:rPr>
        <w:t>农林水（类）</w:t>
      </w:r>
      <w:r>
        <w:rPr>
          <w:rFonts w:hint="eastAsia" w:ascii="仿宋_GB2312" w:eastAsia="仿宋_GB2312"/>
          <w:sz w:val="32"/>
          <w:szCs w:val="32"/>
        </w:rPr>
        <w:t>13.90万元，占0.14%；</w:t>
      </w:r>
      <w:r>
        <w:rPr>
          <w:rFonts w:hint="eastAsia" w:ascii="仿宋_GB2312" w:eastAsia="仿宋_GB2312"/>
          <w:b/>
          <w:bCs/>
          <w:sz w:val="32"/>
          <w:szCs w:val="32"/>
        </w:rPr>
        <w:t>住房保障（类）</w:t>
      </w:r>
      <w:r>
        <w:rPr>
          <w:rFonts w:hint="eastAsia" w:ascii="仿宋_GB2312" w:eastAsia="仿宋_GB2312"/>
          <w:sz w:val="32"/>
          <w:szCs w:val="32"/>
        </w:rPr>
        <w:t>93.94万元，占0.93%；</w:t>
      </w:r>
      <w:r>
        <w:rPr>
          <w:rFonts w:hint="eastAsia" w:ascii="仿宋_GB2312" w:eastAsia="仿宋_GB2312"/>
          <w:b/>
          <w:sz w:val="32"/>
          <w:szCs w:val="32"/>
        </w:rPr>
        <w:t>粮油物资储备（类）</w:t>
      </w:r>
      <w:r>
        <w:rPr>
          <w:rFonts w:hint="eastAsia" w:ascii="仿宋_GB2312" w:eastAsia="仿宋_GB2312"/>
          <w:sz w:val="32"/>
          <w:szCs w:val="32"/>
        </w:rPr>
        <w:t>1,612万元，占16.04%；</w:t>
      </w:r>
      <w:r>
        <w:rPr>
          <w:rFonts w:hint="eastAsia" w:ascii="仿宋_GB2312" w:eastAsia="仿宋_GB2312"/>
          <w:b/>
          <w:bCs/>
          <w:sz w:val="32"/>
          <w:szCs w:val="32"/>
        </w:rPr>
        <w:t>其他（类）</w:t>
      </w:r>
      <w:r>
        <w:rPr>
          <w:rFonts w:hint="eastAsia" w:ascii="仿宋_GB2312" w:eastAsia="仿宋_GB2312"/>
          <w:sz w:val="32"/>
          <w:szCs w:val="32"/>
        </w:rPr>
        <w:t>11万元，占0.11%。</w:t>
      </w:r>
    </w:p>
    <w:p>
      <w:pPr>
        <w:pStyle w:val="4"/>
        <w:spacing w:beforeLines="20" w:afterLines="20" w:line="240" w:lineRule="auto"/>
        <w:ind w:firstLine="640" w:firstLineChars="200"/>
        <w:rPr>
          <w:rFonts w:ascii="楷体" w:hAnsi="楷体" w:eastAsia="楷体"/>
          <w:b w:val="0"/>
        </w:rPr>
      </w:pPr>
      <w:bookmarkStart w:id="84" w:name="_Toc115187284"/>
      <w:bookmarkStart w:id="85" w:name="_Toc115193463"/>
      <w:r>
        <w:rPr>
          <w:rFonts w:hint="eastAsia" w:ascii="楷体" w:hAnsi="楷体" w:eastAsia="楷体"/>
          <w:b w:val="0"/>
        </w:rPr>
        <w:t>（三）财政拨款支出决算具体情况</w:t>
      </w:r>
      <w:bookmarkEnd w:id="84"/>
      <w:bookmarkEnd w:id="85"/>
    </w:p>
    <w:p>
      <w:pPr>
        <w:pStyle w:val="19"/>
        <w:ind w:firstLine="640"/>
        <w:rPr>
          <w:rFonts w:ascii="仿宋_GB2312" w:eastAsia="仿宋_GB2312"/>
          <w:sz w:val="32"/>
          <w:szCs w:val="32"/>
        </w:rPr>
      </w:pPr>
      <w:r>
        <w:rPr>
          <w:rFonts w:hint="eastAsia" w:ascii="仿宋_GB2312" w:eastAsia="仿宋_GB2312"/>
          <w:sz w:val="32"/>
          <w:szCs w:val="32"/>
        </w:rPr>
        <w:t>2021年度财政拨款支出年初预算10,696.66万元，支出决算10,051.08万元，完成预算的93.96%。其中：</w:t>
      </w:r>
    </w:p>
    <w:p>
      <w:pPr>
        <w:pStyle w:val="19"/>
        <w:ind w:firstLine="640"/>
        <w:rPr>
          <w:rFonts w:ascii="仿宋_GB2312" w:eastAsia="仿宋_GB2312"/>
          <w:sz w:val="32"/>
          <w:szCs w:val="32"/>
        </w:rPr>
      </w:pPr>
      <w:r>
        <w:rPr>
          <w:rFonts w:hint="eastAsia" w:ascii="仿宋_GB2312" w:eastAsia="仿宋_GB2312"/>
          <w:b/>
          <w:sz w:val="32"/>
          <w:szCs w:val="32"/>
        </w:rPr>
        <w:t>一般公共服务支出</w:t>
      </w:r>
      <w:r>
        <w:rPr>
          <w:rFonts w:hint="eastAsia" w:ascii="仿宋_GB2312" w:eastAsia="仿宋_GB2312"/>
          <w:sz w:val="32"/>
          <w:szCs w:val="32"/>
        </w:rPr>
        <w:t>年初预算3,201.91万元，支出决算3,309.84万元，完成年初预算的103.37%，用于财政事务方面的支出。较2020年决算增加799.03万元，增长31.82%，主要原因是</w:t>
      </w:r>
      <w:r>
        <w:rPr>
          <w:rFonts w:hint="eastAsia" w:ascii="仿宋_GB2312" w:hAnsi="仿宋" w:eastAsia="仿宋_GB2312" w:cs="仿宋"/>
          <w:sz w:val="32"/>
          <w:szCs w:val="32"/>
        </w:rPr>
        <w:t>所属事业单位机构改革，其在职人员部分合并至局机关，人员经费以及公用经费定额标准均增加；另外，2021年度新增预算一体化建设实施项目、清洁取暖技术支撑全过程服务、汾河中上游山水林田湖草生态保护修复工程试点（忻州）区控制性规划》编制技术服务等项目支出。决算数大于预算数的主要原因是年末追加调整人员经费（包括工资调资、抚恤金及丧葬费、退休人员职业年金做实资金等）。</w:t>
      </w:r>
    </w:p>
    <w:p>
      <w:pPr>
        <w:pStyle w:val="19"/>
        <w:ind w:firstLine="640"/>
        <w:rPr>
          <w:rFonts w:ascii="仿宋_GB2312" w:eastAsia="仿宋_GB2312"/>
          <w:color w:val="000000"/>
          <w:sz w:val="32"/>
          <w:szCs w:val="32"/>
        </w:rPr>
      </w:pPr>
      <w:r>
        <w:rPr>
          <w:rFonts w:hint="eastAsia" w:ascii="仿宋_GB2312" w:eastAsia="仿宋_GB2312"/>
          <w:b/>
          <w:sz w:val="32"/>
          <w:szCs w:val="32"/>
        </w:rPr>
        <w:t>教育支出</w:t>
      </w:r>
      <w:r>
        <w:rPr>
          <w:rFonts w:hint="eastAsia" w:ascii="仿宋_GB2312" w:eastAsia="仿宋_GB2312"/>
          <w:sz w:val="32"/>
          <w:szCs w:val="32"/>
        </w:rPr>
        <w:t>年初预算8万元，支出决算0.02万元，完成年初预算的0.25%，用于农村财会人员能力提升培训经费。较2020年决算减少1.20万元，下降98.36%。主要原因是受疫情防控影响，本年度未能举办线下培训。</w:t>
      </w:r>
    </w:p>
    <w:p>
      <w:pPr>
        <w:pStyle w:val="19"/>
        <w:ind w:firstLine="640"/>
        <w:rPr>
          <w:rFonts w:ascii="仿宋_GB2312" w:eastAsia="仿宋_GB2312"/>
          <w:color w:val="000000"/>
          <w:sz w:val="32"/>
          <w:szCs w:val="32"/>
        </w:rPr>
      </w:pPr>
      <w:r>
        <w:rPr>
          <w:rFonts w:hint="eastAsia" w:ascii="仿宋_GB2312" w:eastAsia="仿宋_GB2312"/>
          <w:b/>
          <w:color w:val="000000"/>
          <w:sz w:val="32"/>
          <w:szCs w:val="32"/>
        </w:rPr>
        <w:t>社会保障和就业支出</w:t>
      </w:r>
      <w:r>
        <w:rPr>
          <w:rFonts w:hint="eastAsia" w:ascii="仿宋_GB2312" w:eastAsia="仿宋_GB2312"/>
          <w:color w:val="000000"/>
          <w:sz w:val="32"/>
          <w:szCs w:val="32"/>
        </w:rPr>
        <w:t>年初预算152.44万元，支出决算146.48万元，完成年初预算的96.09%，用于机关事业单位基本养老保险缴费。较2020年支出决算增加31.28万元，增长27.15%。主要原因是</w:t>
      </w:r>
      <w:r>
        <w:rPr>
          <w:rFonts w:hint="eastAsia" w:ascii="仿宋_GB2312" w:hAnsi="仿宋" w:eastAsia="仿宋_GB2312" w:cs="仿宋"/>
          <w:sz w:val="32"/>
          <w:szCs w:val="32"/>
        </w:rPr>
        <w:t>所属事业单位机构改革，其在职人员合并至局机关，养老保险缴费增加。</w:t>
      </w:r>
    </w:p>
    <w:p>
      <w:pPr>
        <w:pStyle w:val="19"/>
        <w:ind w:firstLine="640"/>
        <w:rPr>
          <w:rFonts w:ascii="仿宋_GB2312" w:hAnsi="仿宋" w:eastAsia="仿宋_GB2312" w:cs="仿宋"/>
          <w:sz w:val="32"/>
          <w:szCs w:val="32"/>
        </w:rPr>
      </w:pPr>
      <w:r>
        <w:rPr>
          <w:rFonts w:hint="eastAsia" w:ascii="仿宋_GB2312" w:eastAsia="仿宋_GB2312"/>
          <w:b/>
          <w:color w:val="000000"/>
          <w:sz w:val="32"/>
          <w:szCs w:val="32"/>
        </w:rPr>
        <w:t>卫生健康支出</w:t>
      </w:r>
      <w:r>
        <w:rPr>
          <w:rFonts w:hint="eastAsia" w:ascii="仿宋_GB2312" w:eastAsia="仿宋_GB2312"/>
          <w:color w:val="000000"/>
          <w:sz w:val="32"/>
          <w:szCs w:val="32"/>
        </w:rPr>
        <w:t>年初预算66.70万元，支出决算60.90万元，完成年初预算的91.30%，用于行政事业单位医疗和计划生育方面的支出。较2020年支出决算增加10.79万元，增长21.53%。主要原因是</w:t>
      </w:r>
      <w:r>
        <w:rPr>
          <w:rFonts w:hint="eastAsia" w:ascii="仿宋_GB2312" w:hAnsi="仿宋" w:eastAsia="仿宋_GB2312" w:cs="仿宋"/>
          <w:sz w:val="32"/>
          <w:szCs w:val="32"/>
        </w:rPr>
        <w:t>所属事业单位机构改革，其在职人员合并至局机关，医疗保险缴费相应增加。</w:t>
      </w:r>
    </w:p>
    <w:p>
      <w:pPr>
        <w:pStyle w:val="19"/>
        <w:ind w:firstLine="640"/>
        <w:rPr>
          <w:rFonts w:ascii="仿宋_GB2312" w:eastAsia="仿宋_GB2312"/>
          <w:color w:val="000000"/>
          <w:sz w:val="32"/>
          <w:szCs w:val="32"/>
        </w:rPr>
      </w:pPr>
      <w:r>
        <w:rPr>
          <w:rFonts w:hint="eastAsia" w:ascii="仿宋_GB2312" w:eastAsia="仿宋_GB2312"/>
          <w:b/>
          <w:color w:val="000000"/>
          <w:sz w:val="32"/>
          <w:szCs w:val="32"/>
        </w:rPr>
        <w:t>城乡社区支出</w:t>
      </w:r>
      <w:r>
        <w:rPr>
          <w:rFonts w:hint="eastAsia" w:ascii="仿宋_GB2312" w:eastAsia="仿宋_GB2312"/>
          <w:color w:val="000000"/>
          <w:sz w:val="32"/>
          <w:szCs w:val="32"/>
        </w:rPr>
        <w:t>年初预算5,430万元，支出决算4,803万元，完成年初预算的88.45%，用于偿还隐性债务本金及利息。较2020年支出决算减少780万元，下降13.97%。主要原因是每年按照实际偿还计划完成支出，另2021年部分预算调整至政府性基金预算中。</w:t>
      </w:r>
    </w:p>
    <w:p>
      <w:pPr>
        <w:pStyle w:val="19"/>
        <w:ind w:firstLine="640"/>
        <w:rPr>
          <w:rFonts w:ascii="仿宋_GB2312" w:eastAsia="仿宋_GB2312"/>
          <w:color w:val="000000"/>
          <w:sz w:val="32"/>
          <w:szCs w:val="32"/>
        </w:rPr>
      </w:pPr>
      <w:r>
        <w:rPr>
          <w:rFonts w:hint="eastAsia" w:ascii="仿宋_GB2312" w:eastAsia="仿宋_GB2312"/>
          <w:b/>
          <w:color w:val="000000"/>
          <w:sz w:val="32"/>
          <w:szCs w:val="32"/>
        </w:rPr>
        <w:t>农林水支出</w:t>
      </w:r>
      <w:r>
        <w:rPr>
          <w:rFonts w:hint="eastAsia" w:ascii="仿宋_GB2312" w:eastAsia="仿宋_GB2312"/>
          <w:color w:val="000000"/>
          <w:sz w:val="32"/>
          <w:szCs w:val="32"/>
        </w:rPr>
        <w:t>年初预算19.80万元，支出决算13.90万元，完成年初预算的70.20%，用于</w:t>
      </w:r>
      <w:r>
        <w:rPr>
          <w:rFonts w:hint="eastAsia" w:ascii="仿宋_GB2312" w:eastAsia="仿宋_GB2312"/>
          <w:sz w:val="32"/>
          <w:szCs w:val="32"/>
        </w:rPr>
        <w:t>扶贫工作队补助等支出。较2020年支出决算减少15.65万元，下降52.96%。主要原因是2021年度扶贫工作由巩固脱贫攻坚成果逐步衔接为乡村振兴工作，人员重新分配，相应减少，补助也因此减少。</w:t>
      </w:r>
    </w:p>
    <w:p>
      <w:pPr>
        <w:pStyle w:val="19"/>
        <w:ind w:firstLine="640"/>
        <w:rPr>
          <w:rFonts w:ascii="仿宋_GB2312" w:hAnsi="仿宋" w:eastAsia="仿宋_GB2312" w:cs="仿宋"/>
          <w:sz w:val="32"/>
          <w:szCs w:val="32"/>
        </w:rPr>
      </w:pPr>
      <w:r>
        <w:rPr>
          <w:rFonts w:hint="eastAsia" w:ascii="仿宋_GB2312" w:eastAsia="仿宋_GB2312"/>
          <w:b/>
          <w:sz w:val="32"/>
          <w:szCs w:val="32"/>
        </w:rPr>
        <w:t>住房保障支出</w:t>
      </w:r>
      <w:r>
        <w:rPr>
          <w:rFonts w:hint="eastAsia" w:ascii="仿宋_GB2312" w:eastAsia="仿宋_GB2312"/>
          <w:sz w:val="32"/>
          <w:szCs w:val="32"/>
        </w:rPr>
        <w:t>年初预算114.25万元，支出决算93.94万元，完成年初预算的82.22%，用于行政事业单位住房公积金方面的支出。较2020年支出决算增加21.93万元，增长30.45%。主要原因</w:t>
      </w:r>
      <w:r>
        <w:rPr>
          <w:rFonts w:hint="eastAsia" w:ascii="仿宋_GB2312" w:eastAsia="仿宋_GB2312"/>
          <w:color w:val="000000"/>
          <w:sz w:val="32"/>
          <w:szCs w:val="32"/>
        </w:rPr>
        <w:t>是</w:t>
      </w:r>
      <w:r>
        <w:rPr>
          <w:rFonts w:hint="eastAsia" w:ascii="仿宋_GB2312" w:hAnsi="仿宋" w:eastAsia="仿宋_GB2312" w:cs="仿宋"/>
          <w:sz w:val="32"/>
          <w:szCs w:val="32"/>
        </w:rPr>
        <w:t>所属事业单位机构改革，其在职人员合并至局机关，住房公积金缴费相应增加。</w:t>
      </w:r>
    </w:p>
    <w:p>
      <w:pPr>
        <w:pStyle w:val="19"/>
        <w:ind w:firstLine="640"/>
        <w:rPr>
          <w:rFonts w:ascii="仿宋_GB2312" w:eastAsia="仿宋_GB2312"/>
          <w:sz w:val="32"/>
          <w:szCs w:val="32"/>
        </w:rPr>
      </w:pPr>
      <w:r>
        <w:rPr>
          <w:rFonts w:hint="eastAsia" w:ascii="仿宋_GB2312" w:hAnsi="仿宋" w:eastAsia="仿宋_GB2312" w:cs="仿宋"/>
          <w:b/>
          <w:sz w:val="32"/>
          <w:szCs w:val="32"/>
        </w:rPr>
        <w:t>粮油物资储备支出</w:t>
      </w:r>
      <w:r>
        <w:rPr>
          <w:rFonts w:hint="eastAsia" w:ascii="仿宋_GB2312" w:hAnsi="仿宋" w:eastAsia="仿宋_GB2312" w:cs="仿宋"/>
          <w:sz w:val="32"/>
          <w:szCs w:val="32"/>
        </w:rPr>
        <w:t>年初预算1,612万元，支出决算1,612万元，完成年初预算的100%，用于粮食风险基金补助经费。较2020年支出决算增加1,612万元，增长100%。主要原因是2021年度预算口径调整，将粮食风险基金配套资金列入部门预算。</w:t>
      </w:r>
    </w:p>
    <w:p>
      <w:pPr>
        <w:pStyle w:val="19"/>
        <w:ind w:firstLine="640"/>
        <w:rPr>
          <w:rFonts w:ascii="仿宋_GB2312" w:eastAsia="仿宋_GB2312"/>
          <w:sz w:val="32"/>
          <w:szCs w:val="32"/>
        </w:rPr>
      </w:pPr>
      <w:r>
        <w:rPr>
          <w:rFonts w:hint="eastAsia" w:ascii="仿宋_GB2312" w:eastAsia="仿宋_GB2312"/>
          <w:b/>
          <w:sz w:val="32"/>
          <w:szCs w:val="32"/>
        </w:rPr>
        <w:t>其他支出</w:t>
      </w:r>
      <w:r>
        <w:rPr>
          <w:rFonts w:hint="eastAsia" w:ascii="仿宋_GB2312" w:eastAsia="仿宋_GB2312"/>
          <w:sz w:val="32"/>
          <w:szCs w:val="32"/>
        </w:rPr>
        <w:t>年初预算0万元，支出决算11万元。主要用于2020年度高质量发展综合绩效考核奖金以及2020年度营商环境考核奖金发入。较2020年支出决算减少5.8万元，下降34.52%。主要原因为奖金按照实际考核标准发放。</w:t>
      </w:r>
    </w:p>
    <w:p>
      <w:pPr>
        <w:pStyle w:val="3"/>
        <w:spacing w:beforeLines="20" w:afterLines="20" w:line="240" w:lineRule="auto"/>
        <w:ind w:firstLine="640" w:firstLineChars="200"/>
        <w:rPr>
          <w:rFonts w:ascii="楷体" w:hAnsi="楷体" w:eastAsia="楷体"/>
          <w:b w:val="0"/>
        </w:rPr>
      </w:pPr>
      <w:bookmarkStart w:id="86" w:name="_Toc115186334"/>
      <w:bookmarkStart w:id="87" w:name="_Toc115186599"/>
      <w:bookmarkStart w:id="88" w:name="_Toc115187285"/>
      <w:bookmarkStart w:id="89" w:name="_Toc115193464"/>
      <w:r>
        <w:rPr>
          <w:rFonts w:hint="eastAsia" w:ascii="楷体" w:hAnsi="楷体" w:eastAsia="楷体"/>
          <w:b w:val="0"/>
        </w:rPr>
        <w:t>六、一般公共预算财政拨款基本支出决算情况说明</w:t>
      </w:r>
      <w:bookmarkEnd w:id="86"/>
      <w:bookmarkEnd w:id="87"/>
      <w:bookmarkEnd w:id="88"/>
      <w:bookmarkEnd w:id="89"/>
    </w:p>
    <w:p>
      <w:pPr>
        <w:pStyle w:val="19"/>
        <w:ind w:firstLine="640"/>
        <w:rPr>
          <w:rFonts w:ascii="仿宋_GB2312" w:eastAsia="仿宋_GB2312"/>
          <w:sz w:val="32"/>
          <w:szCs w:val="32"/>
        </w:rPr>
      </w:pPr>
      <w:r>
        <w:rPr>
          <w:rFonts w:hint="eastAsia" w:ascii="仿宋_GB2312" w:eastAsia="仿宋_GB2312"/>
          <w:sz w:val="32"/>
          <w:szCs w:val="32"/>
        </w:rPr>
        <w:t>2021年度财政拨款基本支出1,823.28万元，其中：人员经费1,511.46万元，主要包括工资福利支出1,456.51万元和对个人和家庭的补助54.95万元；公用经费311.82万元，主要包括商品和服务支出291.82万元和资本性支出20万元。</w:t>
      </w:r>
    </w:p>
    <w:p>
      <w:pPr>
        <w:pStyle w:val="3"/>
        <w:spacing w:beforeLines="20" w:afterLines="20" w:line="240" w:lineRule="auto"/>
        <w:ind w:firstLine="640" w:firstLineChars="200"/>
        <w:rPr>
          <w:rFonts w:ascii="楷体" w:hAnsi="楷体" w:eastAsia="楷体" w:cs="黑体"/>
          <w:b w:val="0"/>
        </w:rPr>
      </w:pPr>
      <w:bookmarkStart w:id="90" w:name="_Toc115186335"/>
      <w:bookmarkStart w:id="91" w:name="_Toc115186600"/>
      <w:bookmarkStart w:id="92" w:name="_Toc115187286"/>
      <w:bookmarkStart w:id="93" w:name="_Toc115193465"/>
      <w:r>
        <w:rPr>
          <w:rFonts w:hint="eastAsia" w:ascii="楷体" w:hAnsi="楷体" w:eastAsia="楷体"/>
          <w:b w:val="0"/>
        </w:rPr>
        <w:t>七、一般公共预算财政拨款“三公”经费支出决算情况</w:t>
      </w:r>
      <w:r>
        <w:rPr>
          <w:rFonts w:hint="eastAsia" w:ascii="楷体" w:hAnsi="楷体" w:eastAsia="楷体" w:cs="黑体"/>
          <w:b w:val="0"/>
        </w:rPr>
        <w:t>说明</w:t>
      </w:r>
      <w:bookmarkEnd w:id="90"/>
      <w:bookmarkEnd w:id="91"/>
      <w:bookmarkEnd w:id="92"/>
      <w:bookmarkEnd w:id="93"/>
    </w:p>
    <w:p>
      <w:pPr>
        <w:pStyle w:val="4"/>
        <w:spacing w:beforeLines="20" w:afterLines="20" w:line="240" w:lineRule="auto"/>
        <w:ind w:firstLine="640" w:firstLineChars="200"/>
        <w:rPr>
          <w:rFonts w:ascii="楷体" w:hAnsi="楷体" w:eastAsia="楷体"/>
          <w:b w:val="0"/>
        </w:rPr>
      </w:pPr>
      <w:bookmarkStart w:id="94" w:name="_Toc115187287"/>
      <w:bookmarkStart w:id="95" w:name="_Toc115193466"/>
      <w:r>
        <w:rPr>
          <w:rFonts w:hint="eastAsia" w:ascii="楷体" w:hAnsi="楷体" w:eastAsia="楷体"/>
          <w:b w:val="0"/>
        </w:rPr>
        <w:t>（一）“三公”经费财政拨款支出决算总体情况说明</w:t>
      </w:r>
      <w:bookmarkEnd w:id="94"/>
      <w:bookmarkEnd w:id="95"/>
    </w:p>
    <w:p>
      <w:pPr>
        <w:pStyle w:val="19"/>
        <w:ind w:firstLine="640"/>
        <w:rPr>
          <w:rFonts w:ascii="仿宋_GB2312" w:eastAsia="仿宋_GB2312"/>
          <w:sz w:val="32"/>
          <w:szCs w:val="32"/>
        </w:rPr>
      </w:pPr>
      <w:r>
        <w:rPr>
          <w:rFonts w:hint="eastAsia" w:ascii="仿宋_GB2312" w:eastAsia="仿宋_GB2312"/>
          <w:sz w:val="32"/>
          <w:szCs w:val="32"/>
        </w:rPr>
        <w:t>2021年度“三公”经费财政拨款支出预算18.14万元，支出决算10.11万元，完成预算的55.73%。比2020年增加1.02万元，增长11.22%。2021年度新增社会事业服务中心（公益一类事业单位），公车运行维护费增加；除此之外，较2020年决算支出均有所下降。主要原因为认真贯彻落实中央八项规定精神和例行节约要求，从严控制“三公”经费开支；二是受疫情影响，部分工作未按计划开展。</w:t>
      </w:r>
    </w:p>
    <w:p>
      <w:pPr>
        <w:pStyle w:val="4"/>
        <w:spacing w:beforeLines="20" w:afterLines="20" w:line="240" w:lineRule="auto"/>
        <w:ind w:firstLine="640" w:firstLineChars="200"/>
        <w:rPr>
          <w:rFonts w:ascii="楷体" w:hAnsi="楷体" w:eastAsia="楷体"/>
          <w:b w:val="0"/>
        </w:rPr>
      </w:pPr>
      <w:bookmarkStart w:id="96" w:name="_Toc115187288"/>
      <w:bookmarkStart w:id="97" w:name="_Toc115193467"/>
      <w:r>
        <w:rPr>
          <w:rFonts w:hint="eastAsia" w:ascii="楷体" w:hAnsi="楷体" w:eastAsia="楷体"/>
          <w:b w:val="0"/>
        </w:rPr>
        <w:t>（二）“三公”经费财政拨款支出决算具体情况说明</w:t>
      </w:r>
      <w:bookmarkEnd w:id="96"/>
      <w:bookmarkEnd w:id="97"/>
    </w:p>
    <w:p>
      <w:pPr>
        <w:pStyle w:val="19"/>
        <w:ind w:firstLine="640"/>
        <w:rPr>
          <w:rFonts w:ascii="仿宋_GB2312" w:eastAsia="仿宋_GB2312"/>
          <w:sz w:val="32"/>
          <w:szCs w:val="32"/>
        </w:rPr>
      </w:pPr>
      <w:r>
        <w:rPr>
          <w:rFonts w:hint="eastAsia" w:ascii="仿宋_GB2312" w:eastAsia="仿宋_GB2312"/>
          <w:sz w:val="32"/>
          <w:szCs w:val="32"/>
        </w:rPr>
        <w:t>公务接待费预算6万元，支出决算1.41万元，完成预算的23.50%，比2020年减少0.12万元，下降了7.84%，主要用于各省市财政部门及其他相关部门交流工作、检查工作等。全年国内公务接待15批，共86人</w:t>
      </w:r>
      <w:r>
        <w:rPr>
          <w:rFonts w:hint="eastAsia" w:ascii="仿宋_GB2312" w:eastAsia="仿宋_GB2312"/>
          <w:sz w:val="32"/>
          <w:szCs w:val="32"/>
          <w:lang w:val="en-US" w:eastAsia="zh-CN"/>
        </w:rPr>
        <w:t>次</w:t>
      </w:r>
      <w:r>
        <w:rPr>
          <w:rFonts w:hint="eastAsia" w:ascii="仿宋_GB2312" w:eastAsia="仿宋_GB2312"/>
          <w:sz w:val="32"/>
          <w:szCs w:val="32"/>
        </w:rPr>
        <w:t>。</w:t>
      </w:r>
    </w:p>
    <w:p>
      <w:pPr>
        <w:pStyle w:val="19"/>
        <w:ind w:firstLine="640"/>
        <w:rPr>
          <w:rFonts w:ascii="仿宋_GB2312" w:eastAsia="仿宋_GB2312"/>
          <w:sz w:val="32"/>
          <w:szCs w:val="32"/>
        </w:rPr>
      </w:pPr>
      <w:r>
        <w:rPr>
          <w:rFonts w:hint="eastAsia" w:ascii="仿宋_GB2312" w:eastAsia="仿宋_GB2312"/>
          <w:sz w:val="32"/>
          <w:szCs w:val="32"/>
        </w:rPr>
        <w:t>因公出国（境）费预算0万元，支出决算0万元，全年因公出国（境）团组数0个，因公出国（境）0人次，与上年相同。</w:t>
      </w:r>
    </w:p>
    <w:p>
      <w:pPr>
        <w:pStyle w:val="19"/>
        <w:ind w:firstLine="640"/>
        <w:rPr>
          <w:rFonts w:ascii="仿宋_GB2312" w:eastAsia="仿宋_GB2312"/>
          <w:sz w:val="32"/>
          <w:szCs w:val="32"/>
        </w:rPr>
      </w:pPr>
      <w:r>
        <w:rPr>
          <w:rFonts w:hint="eastAsia" w:ascii="仿宋_GB2312" w:eastAsia="仿宋_GB2312"/>
          <w:sz w:val="32"/>
          <w:szCs w:val="32"/>
        </w:rPr>
        <w:t>公务用车购置及运行维护费预算12.14万元，支出决算8.71万元，完成预算的71.75%，比2020年增加1.14万元，增长15.08%。2021年度新增社会事业服务中心（公益一类事业单位），公车运行维护费增加。其中：公务用车运行维护费8.71万元，公务用车购置费为0万元，2021年购置公务用车</w:t>
      </w:r>
      <w:r>
        <w:rPr>
          <w:rFonts w:hint="eastAsia" w:ascii="仿宋_GB2312" w:eastAsia="仿宋_GB2312"/>
          <w:sz w:val="32"/>
          <w:szCs w:val="32"/>
          <w:lang w:val="en-US" w:eastAsia="zh-CN"/>
        </w:rPr>
        <w:t>0辆</w:t>
      </w:r>
      <w:r>
        <w:rPr>
          <w:rFonts w:hint="eastAsia" w:ascii="仿宋_GB2312" w:eastAsia="仿宋_GB2312"/>
          <w:sz w:val="32"/>
          <w:szCs w:val="32"/>
        </w:rPr>
        <w:t>，年末公务用车保有量为4辆。主要用于市内因公出行、到各市县检查等业务所需车辆燃料、维修、过路过桥费、保险费等。</w:t>
      </w:r>
    </w:p>
    <w:p>
      <w:pPr>
        <w:pStyle w:val="3"/>
        <w:spacing w:beforeLines="20" w:afterLines="20" w:line="240" w:lineRule="auto"/>
        <w:ind w:firstLine="640" w:firstLineChars="200"/>
        <w:rPr>
          <w:rFonts w:ascii="楷体" w:hAnsi="楷体" w:eastAsia="楷体"/>
          <w:b w:val="0"/>
        </w:rPr>
      </w:pPr>
      <w:bookmarkStart w:id="98" w:name="_Toc115186336"/>
      <w:bookmarkStart w:id="99" w:name="_Toc115186601"/>
      <w:bookmarkStart w:id="100" w:name="_Toc115187289"/>
      <w:bookmarkStart w:id="101" w:name="_Toc115193468"/>
      <w:r>
        <w:rPr>
          <w:rFonts w:hint="eastAsia" w:ascii="楷体" w:hAnsi="楷体" w:eastAsia="楷体"/>
          <w:b w:val="0"/>
        </w:rPr>
        <w:t>八、政府性基金收入支出决算情况说明</w:t>
      </w:r>
      <w:bookmarkEnd w:id="98"/>
      <w:bookmarkEnd w:id="99"/>
      <w:bookmarkEnd w:id="100"/>
      <w:bookmarkEnd w:id="101"/>
    </w:p>
    <w:p>
      <w:pPr>
        <w:pStyle w:val="19"/>
        <w:ind w:firstLine="640"/>
        <w:rPr>
          <w:rFonts w:ascii="仿宋_GB2312" w:eastAsia="仿宋_GB2312"/>
          <w:sz w:val="32"/>
          <w:szCs w:val="32"/>
        </w:rPr>
      </w:pPr>
      <w:r>
        <w:rPr>
          <w:rFonts w:hint="eastAsia" w:ascii="仿宋_GB2312" w:eastAsia="仿宋_GB2312"/>
          <w:sz w:val="32"/>
          <w:szCs w:val="32"/>
        </w:rPr>
        <w:t>2021年度，我部门政府性基金收入总计616万元、支出总计616万元。与2020年相比，收入增加616万元；支出增加616万元。主要原因：</w:t>
      </w:r>
      <w:r>
        <w:rPr>
          <w:rFonts w:hint="eastAsia" w:ascii="仿宋_GB2312" w:eastAsia="仿宋_GB2312"/>
          <w:sz w:val="32"/>
          <w:szCs w:val="32"/>
          <w:lang w:val="en-US" w:eastAsia="zh-CN"/>
        </w:rPr>
        <w:t>用于</w:t>
      </w:r>
      <w:r>
        <w:rPr>
          <w:rFonts w:hint="eastAsia" w:ascii="仿宋_GB2312" w:eastAsia="仿宋_GB2312"/>
          <w:sz w:val="32"/>
          <w:szCs w:val="32"/>
        </w:rPr>
        <w:t>2021年度隐性债务偿还资金</w:t>
      </w:r>
      <w:r>
        <w:rPr>
          <w:rFonts w:hint="eastAsia" w:ascii="仿宋_GB2312" w:eastAsia="仿宋_GB2312"/>
          <w:sz w:val="32"/>
          <w:szCs w:val="32"/>
          <w:lang w:eastAsia="zh-CN"/>
        </w:rPr>
        <w:t>，</w:t>
      </w:r>
      <w:r>
        <w:rPr>
          <w:rFonts w:hint="eastAsia" w:ascii="仿宋_GB2312" w:eastAsia="仿宋_GB2312"/>
          <w:sz w:val="32"/>
          <w:szCs w:val="32"/>
          <w:lang w:val="en-US" w:eastAsia="zh-CN"/>
        </w:rPr>
        <w:t>预算做部分调整。</w:t>
      </w:r>
    </w:p>
    <w:p>
      <w:pPr>
        <w:pStyle w:val="3"/>
        <w:spacing w:beforeLines="20" w:afterLines="20" w:line="240" w:lineRule="auto"/>
        <w:ind w:firstLine="640" w:firstLineChars="200"/>
        <w:rPr>
          <w:rFonts w:ascii="楷体" w:hAnsi="楷体" w:eastAsia="楷体"/>
          <w:b w:val="0"/>
        </w:rPr>
      </w:pPr>
      <w:bookmarkStart w:id="102" w:name="_Toc115186337"/>
      <w:bookmarkStart w:id="103" w:name="_Toc115186602"/>
      <w:bookmarkStart w:id="104" w:name="_Toc115187290"/>
      <w:bookmarkStart w:id="105" w:name="_Toc115193469"/>
      <w:r>
        <w:rPr>
          <w:rFonts w:hint="eastAsia" w:ascii="楷体" w:hAnsi="楷体" w:eastAsia="楷体"/>
          <w:b w:val="0"/>
        </w:rPr>
        <w:t>九、其他重要事项情况说明</w:t>
      </w:r>
      <w:bookmarkEnd w:id="102"/>
      <w:bookmarkEnd w:id="103"/>
      <w:bookmarkEnd w:id="104"/>
      <w:bookmarkEnd w:id="105"/>
    </w:p>
    <w:p>
      <w:pPr>
        <w:pStyle w:val="4"/>
        <w:spacing w:beforeLines="20" w:afterLines="20" w:line="240" w:lineRule="auto"/>
        <w:ind w:firstLine="640" w:firstLineChars="200"/>
        <w:rPr>
          <w:rFonts w:ascii="楷体" w:hAnsi="楷体" w:eastAsia="楷体"/>
          <w:b w:val="0"/>
        </w:rPr>
      </w:pPr>
      <w:bookmarkStart w:id="106" w:name="_Toc115186603"/>
      <w:bookmarkStart w:id="107" w:name="_Toc115187291"/>
      <w:bookmarkStart w:id="108" w:name="_Toc115193470"/>
      <w:r>
        <w:rPr>
          <w:rFonts w:hint="eastAsia" w:ascii="楷体" w:hAnsi="楷体" w:eastAsia="楷体"/>
          <w:b w:val="0"/>
        </w:rPr>
        <w:t>（一）机关运行经费支出情况说明</w:t>
      </w:r>
      <w:bookmarkEnd w:id="106"/>
      <w:bookmarkEnd w:id="107"/>
      <w:bookmarkEnd w:id="108"/>
    </w:p>
    <w:p>
      <w:pPr>
        <w:pStyle w:val="19"/>
        <w:ind w:firstLine="640"/>
        <w:rPr>
          <w:rFonts w:ascii="仿宋_GB2312" w:eastAsia="仿宋_GB2312"/>
          <w:sz w:val="32"/>
          <w:szCs w:val="32"/>
        </w:rPr>
      </w:pPr>
      <w:r>
        <w:rPr>
          <w:rFonts w:hint="eastAsia" w:ascii="仿宋_GB2312" w:eastAsia="仿宋_GB2312"/>
          <w:sz w:val="32"/>
          <w:szCs w:val="32"/>
        </w:rPr>
        <w:t>2021年机关运行经费支出304.06万元，比2020年增加125.75万元，增长70.52%。主要原因为</w:t>
      </w:r>
      <w:r>
        <w:rPr>
          <w:rFonts w:hint="eastAsia" w:ascii="仿宋_GB2312" w:hAnsi="仿宋" w:eastAsia="仿宋_GB2312" w:cs="仿宋"/>
          <w:sz w:val="32"/>
          <w:szCs w:val="32"/>
        </w:rPr>
        <w:t>所属事业单位机构改革，其在职人员合并至局本级，人员增加且公用经费定额标准提升，机关运行经费较上年增幅较大</w:t>
      </w:r>
      <w:r>
        <w:rPr>
          <w:rFonts w:hint="eastAsia" w:ascii="仿宋_GB2312" w:eastAsia="仿宋_GB2312"/>
          <w:sz w:val="32"/>
          <w:szCs w:val="32"/>
        </w:rPr>
        <w:t>。</w:t>
      </w:r>
    </w:p>
    <w:p>
      <w:pPr>
        <w:pStyle w:val="4"/>
        <w:spacing w:beforeLines="20" w:afterLines="20" w:line="240" w:lineRule="auto"/>
        <w:ind w:firstLine="640" w:firstLineChars="200"/>
        <w:rPr>
          <w:rFonts w:ascii="楷体" w:hAnsi="楷体" w:eastAsia="楷体"/>
          <w:b w:val="0"/>
        </w:rPr>
      </w:pPr>
      <w:bookmarkStart w:id="109" w:name="_Toc115186604"/>
      <w:bookmarkStart w:id="110" w:name="_Toc115187292"/>
      <w:bookmarkStart w:id="111" w:name="_Toc115193471"/>
      <w:r>
        <w:rPr>
          <w:rFonts w:hint="eastAsia" w:ascii="楷体" w:hAnsi="楷体" w:eastAsia="楷体"/>
          <w:b w:val="0"/>
        </w:rPr>
        <w:t>（二）政府采购情况说明</w:t>
      </w:r>
      <w:bookmarkEnd w:id="109"/>
      <w:bookmarkEnd w:id="110"/>
      <w:bookmarkEnd w:id="111"/>
    </w:p>
    <w:p>
      <w:pPr>
        <w:pStyle w:val="19"/>
        <w:ind w:firstLine="630"/>
        <w:rPr>
          <w:rFonts w:ascii="仿宋_GB2312" w:eastAsia="仿宋_GB2312"/>
          <w:sz w:val="32"/>
          <w:szCs w:val="32"/>
        </w:rPr>
      </w:pPr>
      <w:r>
        <w:rPr>
          <w:rFonts w:hint="eastAsia" w:ascii="仿宋_GB2312" w:eastAsia="仿宋_GB2312"/>
          <w:sz w:val="32"/>
          <w:szCs w:val="32"/>
        </w:rPr>
        <w:t>2021年度政府采购支出总额1,204.56万元，其中：政府采购货物支出23.30万元、占采购支出总额的1.93%；政府采购工程支出17.70万元、占采购支出总额的1.47%；政府采购服务支出1,163.56万元，占采购支出总额的96.60%。政府采购授予中小企业合同金额1,204.56万元，占政府采购支出总额的100%。其中：授予小微企业合同金额1,204.56万元，占政府采购支出总额的100%。</w:t>
      </w:r>
    </w:p>
    <w:p>
      <w:pPr>
        <w:pStyle w:val="4"/>
        <w:spacing w:beforeLines="20" w:afterLines="20" w:line="240" w:lineRule="auto"/>
        <w:ind w:firstLine="640" w:firstLineChars="200"/>
        <w:rPr>
          <w:rFonts w:ascii="楷体" w:hAnsi="楷体" w:eastAsia="楷体"/>
          <w:b w:val="0"/>
        </w:rPr>
      </w:pPr>
      <w:bookmarkStart w:id="112" w:name="_Toc115186605"/>
      <w:bookmarkStart w:id="113" w:name="_Toc115187293"/>
      <w:bookmarkStart w:id="114" w:name="_Toc115193472"/>
      <w:r>
        <w:rPr>
          <w:rFonts w:hint="eastAsia" w:ascii="楷体" w:hAnsi="楷体" w:eastAsia="楷体"/>
          <w:b w:val="0"/>
        </w:rPr>
        <w:t>（三）国有资产占用情况说明</w:t>
      </w:r>
      <w:bookmarkEnd w:id="112"/>
      <w:bookmarkEnd w:id="113"/>
      <w:bookmarkEnd w:id="114"/>
    </w:p>
    <w:p>
      <w:pPr>
        <w:pStyle w:val="19"/>
        <w:rPr>
          <w:rFonts w:ascii="仿宋_GB2312" w:eastAsia="仿宋_GB2312"/>
          <w:sz w:val="32"/>
          <w:szCs w:val="32"/>
        </w:rPr>
      </w:pPr>
      <w:r>
        <w:rPr>
          <w:rFonts w:hint="eastAsia" w:ascii="仿宋_GB2312" w:eastAsia="仿宋_GB2312"/>
          <w:sz w:val="32"/>
          <w:szCs w:val="32"/>
        </w:rPr>
        <w:t xml:space="preserve">    截至2021年12月31日，我部门共有车辆4辆，其中，副部（省）级及以上领导用车0辆、主要领导干部用车0辆、机要通信用车3辆、应急保障用车0辆、执法执勤用车0辆、特种专业技术用车0辆、离退休干部用车0辆、其他用车1辆，其他用车主要是公车改革后待处置车辆。</w:t>
      </w:r>
      <w:r>
        <w:rPr>
          <w:rFonts w:hint="eastAsia" w:ascii="仿宋_GB2312" w:eastAsia="仿宋_GB2312"/>
          <w:sz w:val="32"/>
          <w:szCs w:val="32"/>
          <w:lang w:val="en-US" w:eastAsia="zh-CN"/>
        </w:rPr>
        <w:t>我局办公用房面积合计3,335.67平方米。</w:t>
      </w:r>
      <w:r>
        <w:rPr>
          <w:rFonts w:hint="eastAsia" w:ascii="仿宋_GB2312" w:eastAsia="仿宋_GB2312"/>
          <w:sz w:val="32"/>
          <w:szCs w:val="32"/>
        </w:rPr>
        <w:t>单价50万元（含）以上的通用设备12台（套），单价100万元（含）以上专用设备0台（套）。</w:t>
      </w:r>
    </w:p>
    <w:p>
      <w:pPr>
        <w:pStyle w:val="4"/>
        <w:spacing w:beforeLines="20" w:afterLines="20" w:line="240" w:lineRule="auto"/>
        <w:ind w:firstLine="640" w:firstLineChars="200"/>
        <w:rPr>
          <w:rFonts w:ascii="楷体" w:hAnsi="楷体" w:eastAsia="楷体"/>
          <w:b w:val="0"/>
        </w:rPr>
      </w:pPr>
      <w:bookmarkStart w:id="115" w:name="_Toc115186606"/>
      <w:bookmarkStart w:id="116" w:name="_Toc115187294"/>
      <w:bookmarkStart w:id="117" w:name="_Toc115193473"/>
      <w:r>
        <w:rPr>
          <w:rFonts w:hint="eastAsia" w:ascii="楷体" w:hAnsi="楷体" w:eastAsia="楷体"/>
          <w:b w:val="0"/>
        </w:rPr>
        <w:t>（四）预算绩效情况说明</w:t>
      </w:r>
      <w:bookmarkEnd w:id="115"/>
      <w:bookmarkEnd w:id="116"/>
      <w:bookmarkEnd w:id="117"/>
    </w:p>
    <w:p>
      <w:pPr>
        <w:pStyle w:val="5"/>
        <w:spacing w:beforeLines="20" w:afterLines="20" w:line="240" w:lineRule="auto"/>
        <w:ind w:firstLine="640" w:firstLineChars="200"/>
        <w:rPr>
          <w:rFonts w:ascii="仿宋_GB2312" w:eastAsia="仿宋_GB2312"/>
          <w:b w:val="0"/>
          <w:sz w:val="32"/>
          <w:szCs w:val="32"/>
        </w:rPr>
      </w:pPr>
      <w:r>
        <w:rPr>
          <w:rFonts w:hint="eastAsia" w:ascii="仿宋_GB2312" w:eastAsia="仿宋_GB2312"/>
          <w:b w:val="0"/>
          <w:sz w:val="32"/>
          <w:szCs w:val="32"/>
        </w:rPr>
        <w:t>1.预算绩效管理评价工作开展情况</w:t>
      </w:r>
    </w:p>
    <w:p>
      <w:pPr>
        <w:pStyle w:val="19"/>
        <w:ind w:firstLine="645"/>
        <w:rPr>
          <w:rFonts w:ascii="仿宋_GB2312" w:eastAsia="仿宋_GB2312"/>
          <w:sz w:val="32"/>
          <w:szCs w:val="32"/>
        </w:rPr>
      </w:pPr>
      <w:r>
        <w:rPr>
          <w:rFonts w:hint="eastAsia" w:ascii="仿宋_GB2312" w:eastAsia="仿宋_GB2312"/>
          <w:sz w:val="32"/>
          <w:szCs w:val="32"/>
        </w:rPr>
        <w:t>根据预算绩效管理要求，我部门组织对2021年度部门预算项目支出中其他运转类项目和特定目标类项目全面开展绩效自评。涉及项目21个，涉及一般公共预算及政府性基金预算资金合计8,843.80万元，占一般公共预算项目支出总额的100%，占政府性基金预算项目支出的100%。我部门无国有资本经营预算项目支出，没有对2021年度国有资本经营预算项目支出开展绩效自评。</w:t>
      </w:r>
    </w:p>
    <w:p>
      <w:pPr>
        <w:pStyle w:val="19"/>
        <w:ind w:firstLine="645"/>
        <w:rPr>
          <w:rFonts w:ascii="仿宋_GB2312" w:eastAsia="仿宋_GB2312"/>
          <w:sz w:val="32"/>
          <w:szCs w:val="32"/>
        </w:rPr>
      </w:pPr>
      <w:r>
        <w:rPr>
          <w:rFonts w:hint="eastAsia" w:ascii="仿宋_GB2312" w:eastAsia="仿宋_GB2312"/>
          <w:sz w:val="32"/>
          <w:szCs w:val="32"/>
        </w:rPr>
        <w:t>2021年我部门没有对项目开展部门评价。</w:t>
      </w:r>
    </w:p>
    <w:p>
      <w:pPr>
        <w:pStyle w:val="19"/>
        <w:ind w:firstLine="645"/>
        <w:rPr>
          <w:rFonts w:ascii="仿宋_GB2312" w:eastAsia="仿宋_GB2312"/>
          <w:sz w:val="32"/>
          <w:szCs w:val="32"/>
        </w:rPr>
      </w:pPr>
      <w:r>
        <w:rPr>
          <w:rFonts w:hint="eastAsia" w:ascii="仿宋_GB2312" w:eastAsia="仿宋_GB2312"/>
          <w:sz w:val="32"/>
          <w:szCs w:val="32"/>
        </w:rPr>
        <w:t>2021年我部门没有对所属单位开展整体绩效评价。局本级及社会事业服务中心均对2021年整体绩效做了自评。</w:t>
      </w:r>
    </w:p>
    <w:p>
      <w:pPr>
        <w:pStyle w:val="19"/>
        <w:ind w:firstLine="645"/>
        <w:rPr>
          <w:rFonts w:ascii="仿宋_GB2312" w:eastAsia="仿宋_GB2312"/>
          <w:sz w:val="32"/>
          <w:szCs w:val="32"/>
        </w:rPr>
      </w:pPr>
      <w:r>
        <w:rPr>
          <w:rFonts w:hint="eastAsia" w:ascii="仿宋_GB2312" w:eastAsia="仿宋_GB2312"/>
          <w:sz w:val="32"/>
          <w:szCs w:val="32"/>
        </w:rPr>
        <w:t>(项目自评表及各单位整体绩效自评报告详见忻州市财政局部门附件2。)</w:t>
      </w:r>
    </w:p>
    <w:p>
      <w:pPr>
        <w:pStyle w:val="5"/>
        <w:spacing w:beforeLines="20" w:afterLines="20" w:line="240" w:lineRule="auto"/>
        <w:ind w:firstLine="640" w:firstLineChars="200"/>
        <w:rPr>
          <w:rFonts w:ascii="仿宋_GB2312" w:eastAsia="仿宋_GB2312"/>
          <w:b w:val="0"/>
          <w:sz w:val="32"/>
          <w:szCs w:val="32"/>
        </w:rPr>
      </w:pPr>
      <w:r>
        <w:rPr>
          <w:rFonts w:hint="eastAsia" w:ascii="仿宋_GB2312" w:eastAsia="仿宋_GB2312"/>
          <w:b w:val="0"/>
          <w:sz w:val="32"/>
          <w:szCs w:val="32"/>
        </w:rPr>
        <w:t>2.部门决算中项目绩效自评结果</w:t>
      </w:r>
    </w:p>
    <w:p>
      <w:pPr>
        <w:pStyle w:val="19"/>
        <w:ind w:firstLine="630"/>
        <w:rPr>
          <w:rFonts w:ascii="仿宋_GB2312" w:eastAsia="仿宋_GB2312"/>
          <w:sz w:val="32"/>
          <w:szCs w:val="32"/>
        </w:rPr>
      </w:pPr>
      <w:r>
        <w:rPr>
          <w:rFonts w:hint="eastAsia" w:ascii="仿宋_GB2312" w:eastAsia="仿宋_GB2312"/>
          <w:sz w:val="32"/>
          <w:szCs w:val="32"/>
        </w:rPr>
        <w:t>2021年度部门决算中，反映3个项目绩效自评结果。</w:t>
      </w:r>
    </w:p>
    <w:p>
      <w:pPr>
        <w:pStyle w:val="20"/>
        <w:spacing w:line="240" w:lineRule="auto"/>
        <w:ind w:firstLine="643"/>
        <w:rPr>
          <w:rFonts w:ascii="仿宋_GB2312"/>
          <w:sz w:val="32"/>
          <w:szCs w:val="32"/>
        </w:rPr>
      </w:pPr>
      <w:r>
        <w:rPr>
          <w:rFonts w:hint="eastAsia" w:ascii="仿宋_GB2312" w:hAnsi="宋体" w:cs="宋体"/>
          <w:b/>
          <w:sz w:val="32"/>
          <w:szCs w:val="32"/>
        </w:rPr>
        <w:t>（1）</w:t>
      </w:r>
      <w:r>
        <w:rPr>
          <w:rFonts w:ascii="仿宋_GB2312" w:hAnsi="宋体" w:cs="宋体"/>
          <w:b/>
          <w:sz w:val="32"/>
          <w:szCs w:val="32"/>
        </w:rPr>
        <w:t>预算投资评审经费</w:t>
      </w:r>
      <w:r>
        <w:rPr>
          <w:rFonts w:hint="eastAsia" w:ascii="仿宋_GB2312"/>
          <w:sz w:val="32"/>
          <w:szCs w:val="32"/>
        </w:rPr>
        <w:t>项目绩效自评综述：根据年初设定的绩效目标，项目自评得分98.75分。全年预算数180万元，执行数为166.95万元，完成预算的92.75%。</w:t>
      </w:r>
      <w:r>
        <w:rPr>
          <w:rFonts w:hint="eastAsia" w:ascii="仿宋_GB2312"/>
          <w:b/>
          <w:sz w:val="32"/>
          <w:szCs w:val="32"/>
        </w:rPr>
        <w:t>项目绩效目标完成情况：</w:t>
      </w:r>
      <w:r>
        <w:rPr>
          <w:rFonts w:hint="eastAsia" w:ascii="仿宋_GB2312"/>
          <w:sz w:val="32"/>
          <w:szCs w:val="32"/>
        </w:rPr>
        <w:t>一是完成财政安排的预算项目审核工作；二是完成具体项目支出标准的评审工作；三是完成部门预算绩效评价工作；四是完成投资项目工程概预算评审工作。</w:t>
      </w:r>
      <w:r>
        <w:rPr>
          <w:rFonts w:hint="eastAsia" w:ascii="仿宋_GB2312"/>
          <w:b/>
          <w:sz w:val="32"/>
          <w:szCs w:val="32"/>
        </w:rPr>
        <w:t>发现的主要问题及原因有：</w:t>
      </w:r>
      <w:r>
        <w:rPr>
          <w:rFonts w:hint="eastAsia" w:ascii="仿宋_GB2312"/>
          <w:sz w:val="32"/>
          <w:szCs w:val="32"/>
        </w:rPr>
        <w:t>一是随着评审职责不断扩大，评审中心专业绩效评审人员匮乏、专业结构不全面、评审力量不足；二是个别项目离承诺时效仍有差距，项目评审工作在一定程度上缺乏紧迫感，评审的质量和效率仍有待提高。</w:t>
      </w:r>
      <w:r>
        <w:rPr>
          <w:rFonts w:hint="eastAsia" w:ascii="仿宋_GB2312"/>
          <w:b/>
          <w:sz w:val="32"/>
          <w:szCs w:val="32"/>
        </w:rPr>
        <w:t>下一步改进措施：</w:t>
      </w:r>
      <w:r>
        <w:rPr>
          <w:rFonts w:hint="eastAsia" w:ascii="仿宋_GB2312"/>
          <w:sz w:val="32"/>
          <w:szCs w:val="32"/>
        </w:rPr>
        <w:t>一是注重思想教育，提高服务意识。践行服务宗旨，深挖主观服务意识不到位的根源，倡导主动服务，营造和谐团队的工作氛围的理念。二是加强评审业务培训力度。组织不同类型的业务培训班，使大家能够熟悉评审工作的程序及规范，提高对评审相关政策制度的认识与理解，做“能力强、业务精、思想正”的合格的评审工作人员。三是建立职责清晰良好的工作管理机制。将工作进行合理分工，责任明确，可以最大限度地实现劳动用工的科学配置，有效地防止因分工不明确而导致的责任模糊的现象，规范操作行为，更好地发现和使用人才，从而提高工作效率和工作质量。</w:t>
      </w:r>
    </w:p>
    <w:p>
      <w:pPr>
        <w:pStyle w:val="20"/>
        <w:spacing w:line="240" w:lineRule="auto"/>
        <w:ind w:firstLine="0" w:firstLineChars="0"/>
        <w:jc w:val="center"/>
        <w:rPr>
          <w:rFonts w:ascii="仿宋_GB2312" w:hAnsi="宋体" w:cs="宋体"/>
          <w:b/>
        </w:rPr>
      </w:pPr>
      <w:r>
        <w:rPr>
          <w:rFonts w:hint="eastAsia" w:ascii="仿宋_GB2312" w:hAnsi="宋体" w:cs="宋体"/>
          <w:b/>
        </w:rPr>
        <w:t>预算投资评审经费项目绩效自评表</w:t>
      </w:r>
    </w:p>
    <w:p>
      <w:pPr>
        <w:pStyle w:val="20"/>
        <w:spacing w:line="240" w:lineRule="auto"/>
        <w:ind w:firstLine="420"/>
        <w:jc w:val="right"/>
        <w:rPr>
          <w:rFonts w:ascii="仿宋_GB2312" w:hAnsi="宋体" w:cs="宋体"/>
          <w:sz w:val="21"/>
          <w:szCs w:val="21"/>
        </w:rPr>
      </w:pPr>
      <w:r>
        <w:rPr>
          <w:rFonts w:hint="eastAsia" w:ascii="仿宋_GB2312" w:hAnsi="宋体" w:cs="宋体"/>
          <w:sz w:val="21"/>
          <w:szCs w:val="21"/>
        </w:rPr>
        <w:t>单位：万元</w:t>
      </w:r>
    </w:p>
    <w:p>
      <w:pPr>
        <w:pStyle w:val="20"/>
        <w:spacing w:line="240" w:lineRule="auto"/>
        <w:ind w:firstLine="420"/>
        <w:jc w:val="center"/>
        <w:rPr>
          <w:rFonts w:ascii="仿宋_GB2312"/>
          <w:sz w:val="21"/>
          <w:szCs w:val="21"/>
        </w:rPr>
      </w:pPr>
      <w:r>
        <w:rPr>
          <w:rFonts w:hint="eastAsia" w:ascii="仿宋_GB2312" w:hAnsi="宋体" w:cs="宋体"/>
          <w:sz w:val="21"/>
          <w:szCs w:val="21"/>
        </w:rPr>
        <w:t>（2021年度）</w:t>
      </w:r>
    </w:p>
    <w:tbl>
      <w:tblPr>
        <w:tblW w:w="9395" w:type="dxa"/>
        <w:jc w:val="center"/>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8"/>
        <w:gridCol w:w="711"/>
        <w:gridCol w:w="980"/>
        <w:gridCol w:w="1569"/>
        <w:gridCol w:w="851"/>
        <w:gridCol w:w="697"/>
        <w:gridCol w:w="1203"/>
        <w:gridCol w:w="756"/>
        <w:gridCol w:w="700"/>
        <w:gridCol w:w="760"/>
        <w:gridCol w:w="600"/>
      </w:tblGrid>
      <w:tr>
        <w:trPr>
          <w:trHeight w:val="342" w:hRule="atLeast"/>
          <w:jc w:val="center"/>
        </w:trPr>
        <w:tc>
          <w:tcPr>
            <w:tcW w:w="1279" w:type="dxa"/>
            <w:gridSpan w:val="2"/>
            <w:tcBorders>
              <w:top w:val="single" w:color="auto" w:sz="8" w:space="0"/>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116" w:type="dxa"/>
            <w:gridSpan w:val="9"/>
            <w:tcBorders>
              <w:top w:val="single" w:color="auto" w:sz="8"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预算投资评审经费</w:t>
            </w:r>
          </w:p>
        </w:tc>
      </w:tr>
      <w:tr>
        <w:trPr>
          <w:trHeight w:val="342" w:hRule="atLeast"/>
          <w:jc w:val="center"/>
        </w:trPr>
        <w:tc>
          <w:tcPr>
            <w:tcW w:w="1279" w:type="dxa"/>
            <w:gridSpan w:val="2"/>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097"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忻州市财政局-114</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2816" w:type="dxa"/>
            <w:gridSpan w:val="4"/>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忻州市财政局</w:t>
            </w:r>
          </w:p>
        </w:tc>
      </w:tr>
      <w:tr>
        <w:trPr>
          <w:trHeight w:val="585" w:hRule="atLeast"/>
          <w:jc w:val="center"/>
        </w:trPr>
        <w:tc>
          <w:tcPr>
            <w:tcW w:w="1279" w:type="dxa"/>
            <w:gridSpan w:val="2"/>
            <w:vMerge w:val="restart"/>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项目资金（万元）</w:t>
            </w: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年初预算数</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w:t>
            </w:r>
            <w:r>
              <w:rPr>
                <w:rFonts w:hint="eastAsia" w:ascii="宋体" w:hAnsi="宋体" w:cs="宋体"/>
                <w:color w:val="000000"/>
                <w:kern w:val="0"/>
                <w:sz w:val="18"/>
                <w:szCs w:val="18"/>
              </w:rPr>
              <w:br/>
            </w:r>
            <w:r>
              <w:rPr>
                <w:rFonts w:hint="eastAsia" w:ascii="宋体" w:hAnsi="宋体" w:cs="宋体"/>
                <w:color w:val="000000"/>
                <w:kern w:val="0"/>
                <w:sz w:val="18"/>
                <w:szCs w:val="18"/>
              </w:rPr>
              <w:t>预算数</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全年执行数</w:t>
            </w:r>
          </w:p>
        </w:tc>
        <w:tc>
          <w:tcPr>
            <w:tcW w:w="70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执行率</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166.95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92.75</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9.27</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其中：中央财政资金</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省级财政资金</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市县(区)财政资金</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166.95</w:t>
            </w:r>
          </w:p>
        </w:tc>
        <w:tc>
          <w:tcPr>
            <w:tcW w:w="70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92.75</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上年结转资金</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390" w:hRule="atLeast"/>
          <w:jc w:val="center"/>
        </w:trPr>
        <w:tc>
          <w:tcPr>
            <w:tcW w:w="568" w:type="dxa"/>
            <w:vMerge w:val="restart"/>
            <w:tcBorders>
              <w:top w:val="nil"/>
              <w:left w:val="single" w:color="auto" w:sz="8" w:space="0"/>
              <w:bottom w:val="single" w:color="auto" w:sz="4" w:space="0"/>
              <w:right w:val="single" w:color="auto" w:sz="4" w:space="0"/>
            </w:tcBorders>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4808"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预期目标</w:t>
            </w:r>
          </w:p>
        </w:tc>
        <w:tc>
          <w:tcPr>
            <w:tcW w:w="4019" w:type="dxa"/>
            <w:gridSpan w:val="5"/>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实际完成情况</w:t>
            </w:r>
          </w:p>
        </w:tc>
      </w:tr>
      <w:tr>
        <w:trPr>
          <w:trHeight w:val="960" w:hRule="atLeast"/>
          <w:jc w:val="center"/>
        </w:trPr>
        <w:tc>
          <w:tcPr>
            <w:tcW w:w="568"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4808"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完成财政安排的预算项目审核工作、具体项目支出标准的评审工作、部门预算绩效评价工作、投资项目工程概预算评审工作。</w:t>
            </w:r>
          </w:p>
        </w:tc>
        <w:tc>
          <w:tcPr>
            <w:tcW w:w="4019" w:type="dxa"/>
            <w:gridSpan w:val="5"/>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长期聘用人员人数：≤25人；</w:t>
            </w:r>
          </w:p>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评审项目数量：≥160个；</w:t>
            </w:r>
          </w:p>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支付的合法、合规率：100%；</w:t>
            </w:r>
          </w:p>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支付的及时率：≥95%；</w:t>
            </w:r>
          </w:p>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评审工作经费：≤180万元</w:t>
            </w:r>
          </w:p>
        </w:tc>
      </w:tr>
      <w:tr>
        <w:trPr>
          <w:trHeight w:val="690" w:hRule="atLeast"/>
          <w:jc w:val="center"/>
        </w:trPr>
        <w:tc>
          <w:tcPr>
            <w:tcW w:w="568" w:type="dxa"/>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调整后指标值</w:t>
            </w:r>
          </w:p>
        </w:tc>
        <w:tc>
          <w:tcPr>
            <w:tcW w:w="12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实际完成值</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偏差原因分析及改进措施</w:t>
            </w:r>
          </w:p>
        </w:tc>
      </w:tr>
      <w:tr>
        <w:trPr>
          <w:trHeight w:val="690" w:hRule="atLeast"/>
          <w:jc w:val="center"/>
        </w:trPr>
        <w:tc>
          <w:tcPr>
            <w:tcW w:w="568" w:type="dxa"/>
            <w:vMerge w:val="restart"/>
            <w:tcBorders>
              <w:top w:val="nil"/>
              <w:left w:val="single" w:color="auto" w:sz="8" w:space="0"/>
              <w:bottom w:val="nil"/>
              <w:right w:val="single" w:color="auto" w:sz="4" w:space="0"/>
            </w:tcBorders>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绩效目标</w:t>
            </w:r>
          </w:p>
        </w:tc>
        <w:tc>
          <w:tcPr>
            <w:tcW w:w="711"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数量指标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长期聘用</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人员人数</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≤25人</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12.9</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12.9</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1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评审项目数量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≥160个</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1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质量指标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支付的合法</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合规率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1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时效指标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支付的及时率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1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成本指标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评审工作经费</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≤180万元</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11" w:type="dxa"/>
            <w:tcBorders>
              <w:top w:val="single" w:color="auto" w:sz="4" w:space="0"/>
              <w:left w:val="nil"/>
              <w:bottom w:val="nil"/>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社会效益</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评审工作效率</w:t>
            </w:r>
            <w:r>
              <w:rPr>
                <w:rFonts w:hint="eastAsia" w:ascii="宋体" w:hAnsi="宋体" w:cs="宋体"/>
                <w:kern w:val="0"/>
                <w:sz w:val="18"/>
                <w:szCs w:val="18"/>
              </w:rPr>
              <w:br/>
            </w:r>
            <w:r>
              <w:rPr>
                <w:rFonts w:hint="eastAsia" w:ascii="宋体" w:hAnsi="宋体" w:cs="宋体"/>
                <w:kern w:val="0"/>
                <w:sz w:val="18"/>
                <w:szCs w:val="18"/>
              </w:rPr>
              <w:t>提高程度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显著</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12.59</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11" w:type="dxa"/>
            <w:tcBorders>
              <w:top w:val="single" w:color="auto" w:sz="4" w:space="0"/>
              <w:left w:val="nil"/>
              <w:bottom w:val="nil"/>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服务对象满意度指标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被评审单位满意度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12.59</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285" w:hRule="atLeast"/>
          <w:jc w:val="center"/>
        </w:trPr>
        <w:tc>
          <w:tcPr>
            <w:tcW w:w="6579" w:type="dxa"/>
            <w:gridSpan w:val="7"/>
            <w:tcBorders>
              <w:top w:val="single" w:color="auto" w:sz="4" w:space="0"/>
              <w:left w:val="single" w:color="auto" w:sz="8" w:space="0"/>
              <w:bottom w:val="single" w:color="auto" w:sz="8"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756" w:type="dxa"/>
            <w:tcBorders>
              <w:top w:val="nil"/>
              <w:left w:val="nil"/>
              <w:bottom w:val="single" w:color="auto" w:sz="8"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0" w:type="dxa"/>
            <w:tcBorders>
              <w:top w:val="nil"/>
              <w:left w:val="nil"/>
              <w:bottom w:val="single" w:color="auto" w:sz="8"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98.75</w:t>
            </w:r>
          </w:p>
        </w:tc>
        <w:tc>
          <w:tcPr>
            <w:tcW w:w="1360" w:type="dxa"/>
            <w:gridSpan w:val="2"/>
            <w:tcBorders>
              <w:top w:val="single" w:color="auto" w:sz="4" w:space="0"/>
              <w:left w:val="single" w:color="auto" w:sz="4" w:space="0"/>
              <w:bottom w:val="single" w:color="auto" w:sz="8"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75" w:hRule="atLeast"/>
          <w:jc w:val="center"/>
        </w:trPr>
        <w:tc>
          <w:tcPr>
            <w:tcW w:w="568" w:type="dxa"/>
            <w:vMerge w:val="restart"/>
            <w:tcBorders>
              <w:top w:val="nil"/>
              <w:left w:val="single" w:color="auto" w:sz="8" w:space="0"/>
              <w:bottom w:val="single" w:color="000000" w:sz="8" w:space="0"/>
              <w:right w:val="single" w:color="auto" w:sz="4" w:space="0"/>
            </w:tcBorders>
            <w:vAlign w:val="center"/>
          </w:tcPr>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711"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7136" w:type="dxa"/>
            <w:gridSpan w:val="8"/>
            <w:tcBorders>
              <w:top w:val="single" w:color="auto" w:sz="8"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项目实施方面：2021年度完成各类评审项目286项，送审305,255.46万元， 审定246,493.91万元，核减58,761.551万元，核减率19.25%；预算执行方面：年初预算计划180万元，实际执行166.95万元。</w:t>
            </w:r>
          </w:p>
        </w:tc>
      </w:tr>
      <w:tr>
        <w:trPr>
          <w:trHeight w:val="450"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7136"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数量方面：长期聘用人员实际23人，控制在年初计划25人内；评审项目完成286项，超年度评审计划160项的78.75%。</w:t>
            </w:r>
            <w:r>
              <w:rPr>
                <w:rFonts w:hint="eastAsia" w:ascii="宋体" w:hAnsi="宋体" w:cs="宋体"/>
                <w:color w:val="000000"/>
                <w:kern w:val="0"/>
                <w:sz w:val="18"/>
                <w:szCs w:val="18"/>
              </w:rPr>
              <w:br/>
            </w:r>
            <w:r>
              <w:rPr>
                <w:rFonts w:hint="eastAsia" w:ascii="宋体" w:hAnsi="宋体" w:cs="宋体"/>
                <w:color w:val="000000"/>
                <w:kern w:val="0"/>
                <w:sz w:val="18"/>
                <w:szCs w:val="18"/>
              </w:rPr>
              <w:t>质量方面：在工作实践中展现出财评人懂业务、讲道德、重内涵的正面形象，营造了客观公正、廉洁高效、服务创新的良好氛围，全年未发生评审项目失误情况，。</w:t>
            </w:r>
            <w:r>
              <w:rPr>
                <w:rFonts w:hint="eastAsia" w:ascii="宋体" w:hAnsi="宋体" w:cs="宋体"/>
                <w:color w:val="000000"/>
                <w:kern w:val="0"/>
                <w:sz w:val="18"/>
                <w:szCs w:val="18"/>
              </w:rPr>
              <w:br/>
            </w:r>
            <w:r>
              <w:rPr>
                <w:rFonts w:hint="eastAsia" w:ascii="宋体" w:hAnsi="宋体" w:cs="宋体"/>
                <w:color w:val="000000"/>
                <w:kern w:val="0"/>
                <w:sz w:val="18"/>
                <w:szCs w:val="18"/>
              </w:rPr>
              <w:t>时效方面：认真学习、准确理解和掌握有关政策、制度的要点，充分了解评审项目的要求，按照规定细致研究拟定切实可行的评审方案，明确统一规范的评审口径，认真领会评审要求，按时及时完成了评审任务。</w:t>
            </w:r>
            <w:r>
              <w:rPr>
                <w:rFonts w:hint="eastAsia" w:ascii="宋体" w:hAnsi="宋体" w:cs="宋体"/>
                <w:color w:val="000000"/>
                <w:kern w:val="0"/>
                <w:sz w:val="18"/>
                <w:szCs w:val="18"/>
              </w:rPr>
              <w:br/>
            </w:r>
            <w:r>
              <w:rPr>
                <w:rFonts w:hint="eastAsia" w:ascii="宋体" w:hAnsi="宋体" w:cs="宋体"/>
                <w:color w:val="000000"/>
                <w:kern w:val="0"/>
                <w:sz w:val="18"/>
                <w:szCs w:val="18"/>
              </w:rPr>
              <w:t>成本方面：年初预算计划180万元，实际执行166.95万元，节约资金13.05万元，节约资金7.25%。</w:t>
            </w:r>
          </w:p>
        </w:tc>
      </w:tr>
      <w:tr>
        <w:trPr>
          <w:trHeight w:val="1230"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7136"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效益方面:随着评审工作的深入开展，评审中心的社会认知度也在逐步提高，评审结论的得到充分认可，基本上做到客观、公正，真实反映财政投资项目的实际情况，通过评审手段实现对财政性资金全过程监督管理。</w:t>
            </w:r>
          </w:p>
        </w:tc>
      </w:tr>
      <w:tr>
        <w:trPr>
          <w:trHeight w:val="1305"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7136"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以服务大局，节支增效为标准，进一步理顺了工作关系，处理好有关部门间的关系，协调好与项目建设相关市场主体的关系，提高评审结论的公正性，同时持续优化评审操作流程，简化评审程序，提高评审服务水平，加强项目办理时限管理，得到所涉及评审项目部门的一致好评。</w:t>
            </w:r>
          </w:p>
        </w:tc>
      </w:tr>
      <w:tr>
        <w:trPr>
          <w:trHeight w:val="2145"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691"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7136"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不断完善内部管理机制，进一步修订和完善各项评审制度、规范，先后完善了评审工作制度、廉洁自律制度等一系列制度，强调科学规范、客观公正、公开透明、廉洁高效，形成了“制约有效、权责明晰、运行规范”的内控机制。项目责任人制、复核制、限时办结制等监督制约机制落到实处，时刻注意防范评审风险，保证了评审效率和质量的稳步提高。靠流程管事，完善了评审内部工作流程、复核流程，评审人员要在工作流程留下“痕迹”，真正做到工作有迹可循、有错可纠。</w:t>
            </w:r>
          </w:p>
        </w:tc>
      </w:tr>
      <w:tr>
        <w:trPr>
          <w:trHeight w:val="1140"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r>
              <w:rPr>
                <w:rFonts w:hint="eastAsia" w:ascii="宋体" w:hAnsi="宋体" w:cs="宋体"/>
                <w:color w:val="000000"/>
                <w:kern w:val="0"/>
                <w:sz w:val="18"/>
                <w:szCs w:val="18"/>
              </w:rPr>
              <w:br/>
            </w:r>
            <w:r>
              <w:rPr>
                <w:rFonts w:hint="eastAsia" w:ascii="宋体" w:hAnsi="宋体" w:cs="宋体"/>
                <w:color w:val="000000"/>
                <w:kern w:val="0"/>
                <w:sz w:val="18"/>
                <w:szCs w:val="18"/>
              </w:rPr>
              <w:t>主要问题及原因分析</w:t>
            </w:r>
          </w:p>
        </w:tc>
        <w:tc>
          <w:tcPr>
            <w:tcW w:w="7136"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随着评审职责不断扩大，评审中心专业绩效评审人员匮乏、专业结构不全面、评审力量</w:t>
            </w:r>
            <w:r>
              <w:rPr>
                <w:rFonts w:hint="eastAsia" w:ascii="宋体" w:hAnsi="宋体" w:cs="宋体"/>
                <w:color w:val="000000"/>
                <w:kern w:val="0"/>
                <w:sz w:val="18"/>
                <w:szCs w:val="18"/>
              </w:rPr>
              <w:br/>
            </w:r>
            <w:r>
              <w:rPr>
                <w:rFonts w:hint="eastAsia" w:ascii="宋体" w:hAnsi="宋体" w:cs="宋体"/>
                <w:color w:val="000000"/>
                <w:kern w:val="0"/>
                <w:sz w:val="18"/>
                <w:szCs w:val="18"/>
              </w:rPr>
              <w:t>不足；个别项目离承诺时效仍有差距，项目评审工作在一定程度上缺乏紧迫感，评审的质量和效率仍有待提高。</w:t>
            </w:r>
          </w:p>
        </w:tc>
      </w:tr>
      <w:tr>
        <w:trPr>
          <w:trHeight w:val="2610"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691" w:type="dxa"/>
            <w:gridSpan w:val="2"/>
            <w:tcBorders>
              <w:top w:val="single" w:color="auto" w:sz="4" w:space="0"/>
              <w:left w:val="nil"/>
              <w:bottom w:val="single" w:color="auto" w:sz="8"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r>
              <w:rPr>
                <w:rFonts w:hint="eastAsia" w:ascii="宋体" w:hAnsi="宋体" w:cs="宋体"/>
                <w:color w:val="000000"/>
                <w:kern w:val="0"/>
                <w:sz w:val="18"/>
                <w:szCs w:val="18"/>
              </w:rPr>
              <w:br/>
            </w:r>
            <w:r>
              <w:rPr>
                <w:rFonts w:hint="eastAsia" w:ascii="宋体" w:hAnsi="宋体" w:cs="宋体"/>
                <w:color w:val="000000"/>
                <w:kern w:val="0"/>
                <w:sz w:val="18"/>
                <w:szCs w:val="18"/>
              </w:rPr>
              <w:t>管理建议</w:t>
            </w:r>
          </w:p>
        </w:tc>
        <w:tc>
          <w:tcPr>
            <w:tcW w:w="7136" w:type="dxa"/>
            <w:gridSpan w:val="8"/>
            <w:tcBorders>
              <w:top w:val="single" w:color="auto" w:sz="4" w:space="0"/>
              <w:left w:val="nil"/>
              <w:bottom w:val="single" w:color="auto" w:sz="8"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一是注重思想教育，提高服务意识。践行服务宗旨，深挖主观服务意识不到位的根源，倡导主动服务，营造和谐团队的工作氛围的理念。</w:t>
            </w:r>
            <w:r>
              <w:rPr>
                <w:rFonts w:hint="eastAsia" w:ascii="宋体" w:hAnsi="宋体" w:cs="宋体"/>
                <w:color w:val="000000"/>
                <w:kern w:val="0"/>
                <w:sz w:val="18"/>
                <w:szCs w:val="18"/>
              </w:rPr>
              <w:br/>
            </w:r>
            <w:r>
              <w:rPr>
                <w:rFonts w:hint="eastAsia" w:ascii="宋体" w:hAnsi="宋体" w:cs="宋体"/>
                <w:color w:val="000000"/>
                <w:kern w:val="0"/>
                <w:sz w:val="18"/>
                <w:szCs w:val="18"/>
              </w:rPr>
              <w:t>二是加强评审业务培训力度。组织不同类型的业务培训班，使大家能够熟悉评审工作的程序及规范，提高对评审相关政策制度的认识与理解，做 “能力强、业务精、思想正”的合格的评审工作人员。</w:t>
            </w:r>
            <w:r>
              <w:rPr>
                <w:rFonts w:hint="eastAsia" w:ascii="宋体" w:hAnsi="宋体" w:cs="宋体"/>
                <w:color w:val="000000"/>
                <w:kern w:val="0"/>
                <w:sz w:val="18"/>
                <w:szCs w:val="18"/>
              </w:rPr>
              <w:br/>
            </w:r>
            <w:r>
              <w:rPr>
                <w:rFonts w:hint="eastAsia" w:ascii="宋体" w:hAnsi="宋体" w:cs="宋体"/>
                <w:color w:val="000000"/>
                <w:kern w:val="0"/>
                <w:sz w:val="18"/>
                <w:szCs w:val="18"/>
              </w:rPr>
              <w:t>三是建立职责清晰良好的工作管理机制。将工作进行合理分工，责任明确，可以最大限度地实现劳动用工的科学配置，有效地防止因分工不明确而导致的责任模糊的现象，规范操作行为，更好地发现和使用人才，从而提高工作效率和工作质量。</w:t>
            </w:r>
          </w:p>
        </w:tc>
      </w:tr>
    </w:tbl>
    <w:p>
      <w:pPr>
        <w:pStyle w:val="19"/>
        <w:spacing w:beforeLines="50"/>
        <w:ind w:firstLine="646"/>
        <w:rPr>
          <w:rFonts w:ascii="仿宋_GB2312" w:eastAsia="仿宋_GB2312"/>
          <w:sz w:val="32"/>
          <w:szCs w:val="32"/>
        </w:rPr>
      </w:pPr>
      <w:r>
        <w:rPr>
          <w:rFonts w:hint="eastAsia" w:ascii="仿宋_GB2312" w:eastAsia="仿宋_GB2312"/>
          <w:b/>
          <w:sz w:val="32"/>
          <w:szCs w:val="32"/>
        </w:rPr>
        <w:t>（2）清洁取暖技术支撑全过程服务</w:t>
      </w:r>
      <w:r>
        <w:rPr>
          <w:rFonts w:hint="eastAsia" w:ascii="仿宋_GB2312" w:eastAsia="仿宋_GB2312"/>
          <w:sz w:val="32"/>
          <w:szCs w:val="32"/>
        </w:rPr>
        <w:t>绩效自评综述：根据年初设定的绩效目标，项目自评得分87.15分。全年预算数384万元，执行数为384万元，完成预算的100%。</w:t>
      </w:r>
      <w:r>
        <w:rPr>
          <w:rFonts w:hint="eastAsia" w:ascii="仿宋_GB2312" w:eastAsia="仿宋_GB2312"/>
          <w:b/>
          <w:sz w:val="32"/>
          <w:szCs w:val="32"/>
        </w:rPr>
        <w:t>项目绩效目标完成情况：</w:t>
      </w:r>
      <w:r>
        <w:rPr>
          <w:rFonts w:hint="eastAsia" w:ascii="仿宋_GB2312" w:eastAsia="仿宋_GB2312"/>
          <w:sz w:val="32"/>
          <w:szCs w:val="32"/>
        </w:rPr>
        <w:t>对忻州市冬季清洁取暖项目进行全过程跟踪和服务，为清洁取暖长效运行机制的建立提供强有力的数据支撑。</w:t>
      </w:r>
      <w:r>
        <w:rPr>
          <w:rFonts w:hint="eastAsia" w:ascii="仿宋_GB2312" w:eastAsia="仿宋_GB2312"/>
          <w:b/>
          <w:sz w:val="32"/>
          <w:szCs w:val="32"/>
        </w:rPr>
        <w:t>发现的主要问题及原因有：</w:t>
      </w:r>
      <w:r>
        <w:rPr>
          <w:rFonts w:hint="eastAsia" w:ascii="仿宋_GB2312" w:eastAsia="仿宋_GB2312"/>
          <w:sz w:val="32"/>
          <w:szCs w:val="32"/>
        </w:rPr>
        <w:t>一是项目介入初期，实际情况了解不够，与相关单位沟通不够；二是建筑节能改造前期周期长，进展缓慢，工期滞后，未及时完成验收。</w:t>
      </w:r>
      <w:r>
        <w:rPr>
          <w:rFonts w:hint="eastAsia" w:ascii="仿宋_GB2312" w:eastAsia="仿宋_GB2312"/>
          <w:b/>
          <w:sz w:val="32"/>
          <w:szCs w:val="32"/>
        </w:rPr>
        <w:t>下一步改进措施：</w:t>
      </w:r>
      <w:r>
        <w:rPr>
          <w:rFonts w:hint="eastAsia" w:ascii="仿宋_GB2312" w:eastAsia="仿宋_GB2312"/>
          <w:sz w:val="32"/>
          <w:szCs w:val="32"/>
        </w:rPr>
        <w:t>加强宣传推广，加大补贴力度，提高各部门建筑节能改造重视程度以及群众的满意度。</w:t>
      </w:r>
    </w:p>
    <w:p>
      <w:pPr>
        <w:pStyle w:val="19"/>
        <w:spacing w:beforeLines="50"/>
        <w:jc w:val="center"/>
        <w:rPr>
          <w:rFonts w:ascii="仿宋_GB2312" w:eastAsia="仿宋_GB2312"/>
          <w:b/>
          <w:sz w:val="28"/>
          <w:szCs w:val="28"/>
          <w:lang w:val="zh-CN"/>
        </w:rPr>
      </w:pPr>
      <w:r>
        <w:rPr>
          <w:rFonts w:hint="eastAsia" w:ascii="仿宋_GB2312" w:eastAsia="仿宋_GB2312"/>
          <w:b/>
          <w:sz w:val="28"/>
          <w:szCs w:val="28"/>
          <w:lang w:val="zh-CN"/>
        </w:rPr>
        <w:t>清洁取暖技术支撑全过程服务项目绩效自评表</w:t>
      </w:r>
    </w:p>
    <w:p>
      <w:pPr>
        <w:pStyle w:val="20"/>
        <w:spacing w:line="240" w:lineRule="auto"/>
        <w:ind w:firstLine="420"/>
        <w:jc w:val="right"/>
        <w:rPr>
          <w:rFonts w:ascii="仿宋_GB2312" w:hAnsi="宋体" w:cs="宋体"/>
          <w:sz w:val="21"/>
          <w:szCs w:val="21"/>
        </w:rPr>
      </w:pPr>
      <w:r>
        <w:rPr>
          <w:rFonts w:hint="eastAsia" w:ascii="仿宋_GB2312" w:hAnsi="宋体" w:cs="宋体"/>
          <w:sz w:val="21"/>
          <w:szCs w:val="21"/>
        </w:rPr>
        <w:t>单位：万元</w:t>
      </w:r>
    </w:p>
    <w:p>
      <w:pPr>
        <w:pStyle w:val="20"/>
        <w:spacing w:line="240" w:lineRule="auto"/>
        <w:ind w:firstLine="420"/>
        <w:jc w:val="center"/>
        <w:rPr>
          <w:rFonts w:ascii="仿宋_GB2312"/>
          <w:sz w:val="21"/>
          <w:szCs w:val="21"/>
        </w:rPr>
      </w:pPr>
      <w:r>
        <w:rPr>
          <w:rFonts w:hint="eastAsia" w:ascii="仿宋_GB2312" w:hAnsi="宋体" w:cs="宋体"/>
          <w:sz w:val="21"/>
          <w:szCs w:val="21"/>
        </w:rPr>
        <w:t>（2021年度）</w:t>
      </w:r>
    </w:p>
    <w:tbl>
      <w:tblPr>
        <w:tblW w:w="9690" w:type="dxa"/>
        <w:jc w:val="center"/>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62"/>
        <w:gridCol w:w="709"/>
        <w:gridCol w:w="992"/>
        <w:gridCol w:w="1276"/>
        <w:gridCol w:w="880"/>
        <w:gridCol w:w="626"/>
        <w:gridCol w:w="1580"/>
        <w:gridCol w:w="1223"/>
        <w:gridCol w:w="682"/>
        <w:gridCol w:w="694"/>
        <w:gridCol w:w="566"/>
      </w:tblGrid>
      <w:tr>
        <w:trPr>
          <w:trHeight w:val="342" w:hRule="atLeast"/>
          <w:jc w:val="center"/>
        </w:trPr>
        <w:tc>
          <w:tcPr>
            <w:tcW w:w="1171" w:type="dxa"/>
            <w:gridSpan w:val="2"/>
            <w:tcBorders>
              <w:top w:val="single" w:color="auto" w:sz="8" w:space="0"/>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519" w:type="dxa"/>
            <w:gridSpan w:val="9"/>
            <w:tcBorders>
              <w:top w:val="single" w:color="auto" w:sz="8"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清洁取暖技术支撑全过程服务</w:t>
            </w:r>
          </w:p>
        </w:tc>
      </w:tr>
      <w:tr>
        <w:trPr>
          <w:trHeight w:val="342" w:hRule="atLeast"/>
          <w:jc w:val="center"/>
        </w:trPr>
        <w:tc>
          <w:tcPr>
            <w:tcW w:w="1171" w:type="dxa"/>
            <w:gridSpan w:val="2"/>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774"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忻州市财政局-114</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165" w:type="dxa"/>
            <w:gridSpan w:val="4"/>
            <w:tcBorders>
              <w:top w:val="single" w:color="auto" w:sz="4" w:space="0"/>
              <w:left w:val="single" w:color="auto" w:sz="4" w:space="0"/>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忻州市财政局</w:t>
            </w:r>
          </w:p>
        </w:tc>
      </w:tr>
      <w:tr>
        <w:trPr>
          <w:trHeight w:val="402" w:hRule="atLeast"/>
          <w:jc w:val="center"/>
        </w:trPr>
        <w:tc>
          <w:tcPr>
            <w:tcW w:w="1171" w:type="dxa"/>
            <w:gridSpan w:val="2"/>
            <w:vMerge w:val="restart"/>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项目资金（万元）</w:t>
            </w: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年初预算数</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全年预算数</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全年执行数</w:t>
            </w:r>
          </w:p>
        </w:tc>
        <w:tc>
          <w:tcPr>
            <w:tcW w:w="682"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执行率</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384</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384</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其中：中央财政资金</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82"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省级财政资金</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82"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市县(区)财政资金</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384</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384</w:t>
            </w:r>
          </w:p>
        </w:tc>
        <w:tc>
          <w:tcPr>
            <w:tcW w:w="682"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上年结转资金</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82"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82"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559" w:hRule="atLeast"/>
          <w:jc w:val="center"/>
        </w:trPr>
        <w:tc>
          <w:tcPr>
            <w:tcW w:w="462" w:type="dxa"/>
            <w:vMerge w:val="restart"/>
            <w:tcBorders>
              <w:top w:val="nil"/>
              <w:left w:val="single" w:color="auto" w:sz="8" w:space="0"/>
              <w:bottom w:val="single" w:color="auto" w:sz="4" w:space="0"/>
              <w:right w:val="single" w:color="auto" w:sz="4" w:space="0"/>
            </w:tcBorders>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4483"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预期目标</w:t>
            </w:r>
          </w:p>
        </w:tc>
        <w:tc>
          <w:tcPr>
            <w:tcW w:w="4745" w:type="dxa"/>
            <w:gridSpan w:val="5"/>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实际完成情况</w:t>
            </w:r>
          </w:p>
        </w:tc>
      </w:tr>
      <w:tr>
        <w:trPr>
          <w:trHeight w:val="1208"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4483"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对忻州市冬季清洁取暖项目进行全过程跟踪和服务，为清洁取暖长效运行机制的建立提供强有力的数据支撑</w:t>
            </w:r>
          </w:p>
        </w:tc>
        <w:tc>
          <w:tcPr>
            <w:tcW w:w="4745" w:type="dxa"/>
            <w:gridSpan w:val="5"/>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预算执行率：100%；群众满意度：90%；通过国家绩效考核：完成任务；政府部门满意度：90%；冬季清洁取暖第三方验收户数：191634；服务成果的及时性：2022年4月底前；评估经费：384万元</w:t>
            </w:r>
          </w:p>
        </w:tc>
      </w:tr>
      <w:tr>
        <w:trPr>
          <w:trHeight w:val="450" w:hRule="atLeast"/>
          <w:jc w:val="center"/>
        </w:trPr>
        <w:tc>
          <w:tcPr>
            <w:tcW w:w="462" w:type="dxa"/>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调整后指标值</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实际完成值</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偏差原因分析及改进措施</w:t>
            </w:r>
          </w:p>
        </w:tc>
      </w:tr>
      <w:tr>
        <w:trPr>
          <w:trHeight w:val="675" w:hRule="atLeast"/>
          <w:jc w:val="center"/>
        </w:trPr>
        <w:tc>
          <w:tcPr>
            <w:tcW w:w="462" w:type="dxa"/>
            <w:vMerge w:val="restart"/>
            <w:tcBorders>
              <w:top w:val="nil"/>
              <w:left w:val="single" w:color="auto" w:sz="8" w:space="0"/>
              <w:bottom w:val="nil"/>
              <w:right w:val="single" w:color="auto" w:sz="4" w:space="0"/>
            </w:tcBorders>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绩效目标</w:t>
            </w:r>
          </w:p>
        </w:tc>
        <w:tc>
          <w:tcPr>
            <w:tcW w:w="709"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数量指标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冬季清洁取暖第三方验收户数</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=191634户</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191634户</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12.9</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12.9</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450"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质量指标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顺利通过国家绩效评价</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评价等级良好</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国家还未组织绩效考核</w:t>
            </w:r>
          </w:p>
        </w:tc>
      </w:tr>
      <w:tr>
        <w:trPr>
          <w:trHeight w:val="525"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时效指标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服务成果的及时性</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2022年4月底前</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2022年4月底前</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525"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成本指标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评估经费</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384万元</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384万元</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525"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社会效益</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群众</w:t>
            </w:r>
            <w:r>
              <w:rPr>
                <w:rFonts w:hint="eastAsia" w:ascii="宋体" w:hAnsi="宋体" w:cs="宋体"/>
                <w:kern w:val="0"/>
                <w:sz w:val="18"/>
                <w:szCs w:val="18"/>
              </w:rPr>
              <w:br/>
            </w:r>
            <w:r>
              <w:rPr>
                <w:rFonts w:hint="eastAsia" w:ascii="宋体" w:hAnsi="宋体" w:cs="宋体"/>
                <w:kern w:val="0"/>
                <w:sz w:val="18"/>
                <w:szCs w:val="18"/>
              </w:rPr>
              <w:t>满意度</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&gt;=90%</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525"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可持续影响指标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通过国家绩效考核</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完成任务</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75"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tcBorders>
              <w:top w:val="single" w:color="auto" w:sz="4" w:space="0"/>
              <w:left w:val="nil"/>
              <w:bottom w:val="nil"/>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服务对象满意度指标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政府部门满意度</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&gt;=90%</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435" w:hRule="atLeast"/>
          <w:jc w:val="center"/>
        </w:trPr>
        <w:tc>
          <w:tcPr>
            <w:tcW w:w="6525" w:type="dxa"/>
            <w:gridSpan w:val="7"/>
            <w:tcBorders>
              <w:top w:val="single" w:color="auto" w:sz="4" w:space="0"/>
              <w:left w:val="single" w:color="auto" w:sz="8" w:space="0"/>
              <w:bottom w:val="single" w:color="auto" w:sz="8"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1223" w:type="dxa"/>
            <w:tcBorders>
              <w:top w:val="nil"/>
              <w:left w:val="single" w:color="auto" w:sz="4" w:space="0"/>
              <w:bottom w:val="single" w:color="auto" w:sz="8"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82" w:type="dxa"/>
            <w:tcBorders>
              <w:top w:val="nil"/>
              <w:left w:val="nil"/>
              <w:bottom w:val="single" w:color="auto" w:sz="8"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87.15</w:t>
            </w:r>
          </w:p>
        </w:tc>
        <w:tc>
          <w:tcPr>
            <w:tcW w:w="1260" w:type="dxa"/>
            <w:gridSpan w:val="2"/>
            <w:tcBorders>
              <w:top w:val="single" w:color="auto" w:sz="4" w:space="0"/>
              <w:left w:val="single" w:color="auto" w:sz="4" w:space="0"/>
              <w:bottom w:val="single" w:color="auto" w:sz="8"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968" w:hRule="atLeast"/>
          <w:jc w:val="center"/>
        </w:trPr>
        <w:tc>
          <w:tcPr>
            <w:tcW w:w="462" w:type="dxa"/>
            <w:vMerge w:val="restart"/>
            <w:tcBorders>
              <w:top w:val="nil"/>
              <w:left w:val="single" w:color="auto" w:sz="8" w:space="0"/>
              <w:bottom w:val="single" w:color="000000" w:sz="8"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70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7527" w:type="dxa"/>
            <w:gridSpan w:val="8"/>
            <w:tcBorders>
              <w:top w:val="single" w:color="auto" w:sz="8"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为高质量完成我市清洁取暖项目建设任务，迎接好国家、省有关部门的日常检查，顺利通过国家四部委每年度绩效评价并获得每年度奖励资金。</w:t>
            </w:r>
          </w:p>
        </w:tc>
      </w:tr>
      <w:tr>
        <w:trPr>
          <w:trHeight w:val="957"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7527"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项目资料的整理、申报方案的编制、答辩PPT制作及问题汇总，服务成果文件包括项目、绩效相关管理办法、验收方案等的编制，绩效自评报告及支撑材料高质量编制完成，符合国家考核要求，在规定时间节点报送省厅。</w:t>
            </w:r>
          </w:p>
        </w:tc>
      </w:tr>
      <w:tr>
        <w:trPr>
          <w:trHeight w:val="840"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7527"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从项目实施、资金拨付到项目验收全过程跟进，确保项目过程合理合规，以优秀的自评得分顺利通过省相关部门考核。群众满意度良好。</w:t>
            </w:r>
          </w:p>
        </w:tc>
      </w:tr>
      <w:tr>
        <w:trPr>
          <w:trHeight w:val="980"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7527"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市直相关单位满意度良好，协调市能源局、住建局等相关单位完成项目上的沟通、资料的收集汇总等，并协助市能源局完成日常清洁取暖工作及上级相关部门的考核。</w:t>
            </w:r>
          </w:p>
        </w:tc>
      </w:tr>
      <w:tr>
        <w:trPr>
          <w:trHeight w:val="966"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7527"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在市级层面开展绩效评价培训，加强各单位沟通以及重视程度；开展下县调研，实地了解项目资金情况，压实相关单位责任，协调后续沟通及畅通报送资料渠道。</w:t>
            </w:r>
          </w:p>
        </w:tc>
      </w:tr>
      <w:tr>
        <w:trPr>
          <w:trHeight w:val="1107"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r>
              <w:rPr>
                <w:rFonts w:hint="eastAsia" w:ascii="宋体" w:hAnsi="宋体" w:cs="宋体"/>
                <w:color w:val="000000"/>
                <w:kern w:val="0"/>
                <w:sz w:val="18"/>
                <w:szCs w:val="18"/>
              </w:rPr>
              <w:br/>
            </w:r>
            <w:r>
              <w:rPr>
                <w:rFonts w:hint="eastAsia" w:ascii="宋体" w:hAnsi="宋体" w:cs="宋体"/>
                <w:color w:val="000000"/>
                <w:kern w:val="0"/>
                <w:sz w:val="18"/>
                <w:szCs w:val="18"/>
              </w:rPr>
              <w:t>主要问题及原因分析</w:t>
            </w:r>
          </w:p>
        </w:tc>
        <w:tc>
          <w:tcPr>
            <w:tcW w:w="7527"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项目介入初期，实际情况了解不够，逐渐相关单位沟通不够，建筑节能改造前期周期长，进展缓慢，工期滞后，未及时完成验收。</w:t>
            </w:r>
          </w:p>
        </w:tc>
      </w:tr>
      <w:tr>
        <w:trPr>
          <w:trHeight w:val="981"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000000"/>
                <w:kern w:val="0"/>
                <w:sz w:val="18"/>
                <w:szCs w:val="18"/>
              </w:rPr>
            </w:pPr>
          </w:p>
        </w:tc>
        <w:tc>
          <w:tcPr>
            <w:tcW w:w="1701" w:type="dxa"/>
            <w:gridSpan w:val="2"/>
            <w:tcBorders>
              <w:top w:val="single" w:color="auto" w:sz="4" w:space="0"/>
              <w:left w:val="nil"/>
              <w:bottom w:val="single" w:color="auto" w:sz="8"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r>
              <w:rPr>
                <w:rFonts w:hint="eastAsia" w:ascii="宋体" w:hAnsi="宋体" w:cs="宋体"/>
                <w:color w:val="000000"/>
                <w:kern w:val="0"/>
                <w:sz w:val="18"/>
                <w:szCs w:val="18"/>
              </w:rPr>
              <w:br/>
            </w:r>
            <w:r>
              <w:rPr>
                <w:rFonts w:hint="eastAsia" w:ascii="宋体" w:hAnsi="宋体" w:cs="宋体"/>
                <w:color w:val="000000"/>
                <w:kern w:val="0"/>
                <w:sz w:val="18"/>
                <w:szCs w:val="18"/>
              </w:rPr>
              <w:t>管理建议</w:t>
            </w:r>
          </w:p>
        </w:tc>
        <w:tc>
          <w:tcPr>
            <w:tcW w:w="7527" w:type="dxa"/>
            <w:gridSpan w:val="8"/>
            <w:tcBorders>
              <w:top w:val="single" w:color="auto" w:sz="4" w:space="0"/>
              <w:left w:val="nil"/>
              <w:bottom w:val="single" w:color="auto"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加强宣传推广，加大补贴力度，提高各部门建筑节能改造重视程度以及群众的满意度。</w:t>
            </w:r>
          </w:p>
        </w:tc>
      </w:tr>
    </w:tbl>
    <w:p>
      <w:pPr>
        <w:pStyle w:val="19"/>
        <w:spacing w:beforeLines="50"/>
        <w:ind w:firstLine="646"/>
        <w:rPr>
          <w:rFonts w:ascii="仿宋_GB2312" w:eastAsia="仿宋_GB2312"/>
          <w:sz w:val="32"/>
          <w:szCs w:val="32"/>
        </w:rPr>
      </w:pPr>
      <w:r>
        <w:rPr>
          <w:rFonts w:hint="eastAsia" w:ascii="仿宋_GB2312" w:eastAsia="仿宋_GB2312"/>
          <w:b/>
          <w:sz w:val="32"/>
          <w:szCs w:val="32"/>
        </w:rPr>
        <w:t>（3）会计考试考务费</w:t>
      </w:r>
      <w:r>
        <w:rPr>
          <w:rFonts w:hint="eastAsia" w:ascii="仿宋_GB2312" w:eastAsia="仿宋_GB2312"/>
          <w:sz w:val="32"/>
          <w:szCs w:val="32"/>
        </w:rPr>
        <w:t>绩效自评综述：根据年初设定的绩效目标，项目自评得分87.15分。全年预算数50万元，执行数为28.68万元，完成预算的57.36%。</w:t>
      </w:r>
      <w:r>
        <w:rPr>
          <w:rFonts w:hint="eastAsia" w:ascii="仿宋_GB2312" w:eastAsia="仿宋_GB2312"/>
          <w:b/>
          <w:sz w:val="32"/>
          <w:szCs w:val="32"/>
        </w:rPr>
        <w:t>项目绩效目标完成情况：</w:t>
      </w:r>
      <w:r>
        <w:rPr>
          <w:rFonts w:hint="eastAsia" w:ascii="仿宋_GB2312" w:eastAsia="仿宋_GB2312"/>
          <w:sz w:val="32"/>
          <w:szCs w:val="32"/>
        </w:rPr>
        <w:t>按期组织完成会计初级、中级职称等考试。</w:t>
      </w:r>
      <w:r>
        <w:rPr>
          <w:rFonts w:hint="eastAsia" w:ascii="仿宋_GB2312" w:eastAsia="仿宋_GB2312"/>
          <w:b/>
          <w:sz w:val="32"/>
          <w:szCs w:val="32"/>
        </w:rPr>
        <w:t>发现的主要问题及原因有：</w:t>
      </w:r>
      <w:r>
        <w:rPr>
          <w:rFonts w:hint="eastAsia" w:ascii="仿宋_GB2312" w:eastAsia="仿宋_GB2312"/>
          <w:sz w:val="32"/>
          <w:szCs w:val="32"/>
        </w:rPr>
        <w:t>一是考试的机考系统还有待完善；二是考试的组织管理工作还有待强化；三是考试的舆情工作还有待于重视。</w:t>
      </w:r>
      <w:r>
        <w:rPr>
          <w:rFonts w:hint="eastAsia" w:ascii="仿宋_GB2312" w:eastAsia="仿宋_GB2312"/>
          <w:b/>
          <w:sz w:val="32"/>
          <w:szCs w:val="32"/>
        </w:rPr>
        <w:t>下一步改进措施：</w:t>
      </w:r>
      <w:r>
        <w:rPr>
          <w:rFonts w:hint="eastAsia" w:ascii="仿宋_GB2312" w:eastAsia="仿宋_GB2312"/>
          <w:sz w:val="32"/>
          <w:szCs w:val="32"/>
        </w:rPr>
        <w:t>进一步强化责任意识，加强与相关部门的沟通、协调和配合，确保考试各项工作做精做细做实，每个环节、每个时点衔接好，特别是保电措施要到位，确保无纸化考试工作安全、平稳、顺利进行。</w:t>
      </w:r>
    </w:p>
    <w:p>
      <w:pPr>
        <w:pStyle w:val="19"/>
        <w:spacing w:beforeLines="50"/>
        <w:jc w:val="center"/>
        <w:rPr>
          <w:rFonts w:ascii="仿宋_GB2312" w:eastAsia="仿宋_GB2312"/>
          <w:b/>
          <w:sz w:val="28"/>
          <w:szCs w:val="28"/>
          <w:lang w:val="zh-CN"/>
        </w:rPr>
      </w:pPr>
      <w:r>
        <w:rPr>
          <w:rFonts w:hint="eastAsia" w:ascii="仿宋_GB2312" w:eastAsia="仿宋_GB2312"/>
          <w:b/>
          <w:sz w:val="28"/>
          <w:szCs w:val="28"/>
          <w:lang w:val="zh-CN"/>
        </w:rPr>
        <w:t>会计考试考务费项目绩效自评表</w:t>
      </w:r>
    </w:p>
    <w:p>
      <w:pPr>
        <w:pStyle w:val="20"/>
        <w:spacing w:line="240" w:lineRule="auto"/>
        <w:ind w:firstLine="420"/>
        <w:jc w:val="right"/>
        <w:rPr>
          <w:rFonts w:ascii="仿宋_GB2312" w:hAnsi="宋体" w:cs="宋体"/>
          <w:sz w:val="21"/>
          <w:szCs w:val="21"/>
        </w:rPr>
      </w:pPr>
      <w:r>
        <w:rPr>
          <w:rFonts w:hint="eastAsia" w:ascii="仿宋_GB2312" w:hAnsi="宋体" w:cs="宋体"/>
          <w:sz w:val="21"/>
          <w:szCs w:val="21"/>
        </w:rPr>
        <w:t>单位：万元</w:t>
      </w:r>
    </w:p>
    <w:p>
      <w:pPr>
        <w:pStyle w:val="20"/>
        <w:spacing w:line="240" w:lineRule="auto"/>
        <w:ind w:firstLine="420"/>
        <w:jc w:val="center"/>
        <w:rPr>
          <w:rFonts w:ascii="仿宋_GB2312"/>
          <w:sz w:val="21"/>
          <w:szCs w:val="21"/>
        </w:rPr>
      </w:pPr>
      <w:r>
        <w:rPr>
          <w:rFonts w:hint="eastAsia" w:ascii="仿宋_GB2312" w:hAnsi="宋体" w:cs="宋体"/>
          <w:sz w:val="21"/>
          <w:szCs w:val="21"/>
        </w:rPr>
        <w:t>（2021年度）</w:t>
      </w:r>
    </w:p>
    <w:tbl>
      <w:tblPr>
        <w:tblW w:w="8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95"/>
        <w:gridCol w:w="641"/>
        <w:gridCol w:w="1114"/>
        <w:gridCol w:w="1053"/>
        <w:gridCol w:w="915"/>
        <w:gridCol w:w="658"/>
        <w:gridCol w:w="810"/>
        <w:gridCol w:w="696"/>
        <w:gridCol w:w="696"/>
        <w:gridCol w:w="696"/>
        <w:gridCol w:w="696"/>
      </w:tblGrid>
      <w:tr>
        <w:trPr>
          <w:trHeight w:val="342" w:hRule="atLeast"/>
          <w:jc w:val="center"/>
        </w:trPr>
        <w:tc>
          <w:tcPr>
            <w:tcW w:w="1336" w:type="dxa"/>
            <w:gridSpan w:val="2"/>
            <w:tcBorders>
              <w:top w:val="single" w:color="auto" w:sz="8" w:space="0"/>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334" w:type="dxa"/>
            <w:gridSpan w:val="9"/>
            <w:tcBorders>
              <w:top w:val="single" w:color="auto" w:sz="8"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会计考试考务费</w:t>
            </w:r>
          </w:p>
        </w:tc>
      </w:tr>
      <w:tr>
        <w:trPr>
          <w:trHeight w:val="450" w:hRule="atLeast"/>
          <w:jc w:val="center"/>
        </w:trPr>
        <w:tc>
          <w:tcPr>
            <w:tcW w:w="1336" w:type="dxa"/>
            <w:gridSpan w:val="2"/>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74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忻州市财政局-114</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实施</w:t>
            </w:r>
            <w:r>
              <w:rPr>
                <w:rFonts w:hint="eastAsia" w:ascii="宋体" w:hAnsi="宋体" w:cs="宋体"/>
                <w:color w:val="000000"/>
                <w:kern w:val="0"/>
                <w:sz w:val="18"/>
                <w:szCs w:val="18"/>
              </w:rPr>
              <w:br/>
            </w:r>
            <w:r>
              <w:rPr>
                <w:rFonts w:hint="eastAsia" w:ascii="宋体" w:hAnsi="宋体" w:cs="宋体"/>
                <w:color w:val="000000"/>
                <w:kern w:val="0"/>
                <w:sz w:val="18"/>
                <w:szCs w:val="18"/>
              </w:rPr>
              <w:t>单位</w:t>
            </w:r>
          </w:p>
        </w:tc>
        <w:tc>
          <w:tcPr>
            <w:tcW w:w="2784" w:type="dxa"/>
            <w:gridSpan w:val="4"/>
            <w:tcBorders>
              <w:top w:val="single" w:color="auto" w:sz="4" w:space="0"/>
              <w:left w:val="single" w:color="auto" w:sz="4" w:space="0"/>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忻州市财政局</w:t>
            </w:r>
          </w:p>
        </w:tc>
      </w:tr>
      <w:tr>
        <w:trPr>
          <w:trHeight w:val="795" w:hRule="atLeast"/>
          <w:jc w:val="center"/>
        </w:trPr>
        <w:tc>
          <w:tcPr>
            <w:tcW w:w="1336" w:type="dxa"/>
            <w:gridSpan w:val="2"/>
            <w:vMerge w:val="restart"/>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项目资金</w:t>
            </w:r>
            <w:r>
              <w:rPr>
                <w:rFonts w:hint="eastAsia" w:ascii="宋体" w:hAnsi="宋体" w:cs="宋体"/>
                <w:color w:val="000000"/>
                <w:kern w:val="0"/>
                <w:sz w:val="18"/>
                <w:szCs w:val="18"/>
              </w:rPr>
              <w:br/>
            </w:r>
            <w:r>
              <w:rPr>
                <w:rFonts w:hint="eastAsia" w:ascii="宋体" w:hAnsi="宋体" w:cs="宋体"/>
                <w:color w:val="000000"/>
                <w:kern w:val="0"/>
                <w:sz w:val="18"/>
                <w:szCs w:val="18"/>
              </w:rPr>
              <w:t>（万元）</w:t>
            </w: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年初预算数</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全年预算数</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全年执行数</w:t>
            </w:r>
          </w:p>
        </w:tc>
        <w:tc>
          <w:tcPr>
            <w:tcW w:w="696"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执行率</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28.68</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57.36</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5.73</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其中：中央财政资金</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省级财政资金</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市县(区)财政资金</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28.68</w:t>
            </w:r>
          </w:p>
        </w:tc>
        <w:tc>
          <w:tcPr>
            <w:tcW w:w="696"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57.36</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上年结转资金</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rPr>
          <w:trHeight w:val="559" w:hRule="atLeast"/>
          <w:jc w:val="center"/>
        </w:trPr>
        <w:tc>
          <w:tcPr>
            <w:tcW w:w="695" w:type="dxa"/>
            <w:vMerge w:val="restart"/>
            <w:tcBorders>
              <w:top w:val="nil"/>
              <w:left w:val="single" w:color="auto" w:sz="8" w:space="0"/>
              <w:bottom w:val="single" w:color="auto" w:sz="4" w:space="0"/>
              <w:right w:val="single" w:color="auto" w:sz="4" w:space="0"/>
            </w:tcBorders>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4381"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预期目标</w:t>
            </w:r>
          </w:p>
        </w:tc>
        <w:tc>
          <w:tcPr>
            <w:tcW w:w="3594" w:type="dxa"/>
            <w:gridSpan w:val="5"/>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实际完成情况</w:t>
            </w:r>
          </w:p>
        </w:tc>
      </w:tr>
      <w:tr>
        <w:trPr>
          <w:trHeight w:val="1047" w:hRule="atLeast"/>
          <w:jc w:val="center"/>
        </w:trPr>
        <w:tc>
          <w:tcPr>
            <w:tcW w:w="69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4381"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按期组织完成各项会计考试</w:t>
            </w:r>
          </w:p>
        </w:tc>
        <w:tc>
          <w:tcPr>
            <w:tcW w:w="3594" w:type="dxa"/>
            <w:gridSpan w:val="5"/>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组织考试及时性：及时；服务对象满意度：满意；考生满意度：98%；跟踪反馈机制健全性：98%；考试举办完成率：100%</w:t>
            </w:r>
          </w:p>
        </w:tc>
      </w:tr>
      <w:tr>
        <w:trPr>
          <w:trHeight w:val="284" w:hRule="atLeast"/>
          <w:jc w:val="center"/>
        </w:trPr>
        <w:tc>
          <w:tcPr>
            <w:tcW w:w="695" w:type="dxa"/>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4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调整后指标值</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实际完成值</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偏差原因分析及改进措施</w:t>
            </w:r>
          </w:p>
        </w:tc>
      </w:tr>
      <w:tr>
        <w:trPr>
          <w:trHeight w:val="284" w:hRule="atLeast"/>
          <w:jc w:val="center"/>
        </w:trPr>
        <w:tc>
          <w:tcPr>
            <w:tcW w:w="695" w:type="dxa"/>
            <w:vMerge w:val="restart"/>
            <w:tcBorders>
              <w:top w:val="nil"/>
              <w:left w:val="single" w:color="auto" w:sz="8" w:space="0"/>
              <w:bottom w:val="nil"/>
              <w:right w:val="single" w:color="auto" w:sz="4" w:space="0"/>
            </w:tcBorders>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绩效目标</w:t>
            </w:r>
          </w:p>
        </w:tc>
        <w:tc>
          <w:tcPr>
            <w:tcW w:w="641"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数量指标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组织考试场次</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&gt;=3次</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15次</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12.9</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12.9</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64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质量指标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考试举办完成率</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64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时效指标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组织考试及时性</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64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成本指标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组织考试成本</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&lt;=50万元</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28.68万元</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使用以前年度结转22.79万元</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641"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社会效益</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641"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可持续影响指标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考生满意度</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&gt;=98%</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641" w:type="dxa"/>
            <w:tcBorders>
              <w:top w:val="single" w:color="auto" w:sz="4" w:space="0"/>
              <w:left w:val="nil"/>
              <w:bottom w:val="nil"/>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服务对象满意度指标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跟踪反馈机制健全性</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&gt;=98%</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501" w:hRule="atLeast"/>
          <w:jc w:val="center"/>
        </w:trPr>
        <w:tc>
          <w:tcPr>
            <w:tcW w:w="5886" w:type="dxa"/>
            <w:gridSpan w:val="7"/>
            <w:tcBorders>
              <w:top w:val="single" w:color="auto" w:sz="4" w:space="0"/>
              <w:left w:val="single" w:color="auto" w:sz="8" w:space="0"/>
              <w:bottom w:val="single" w:color="auto" w:sz="8"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96" w:type="dxa"/>
            <w:tcBorders>
              <w:top w:val="nil"/>
              <w:left w:val="single" w:color="auto" w:sz="4" w:space="0"/>
              <w:bottom w:val="single" w:color="auto" w:sz="8"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6" w:type="dxa"/>
            <w:tcBorders>
              <w:top w:val="nil"/>
              <w:left w:val="nil"/>
              <w:bottom w:val="single" w:color="auto" w:sz="8" w:space="0"/>
              <w:right w:val="nil"/>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95.73</w:t>
            </w:r>
          </w:p>
        </w:tc>
        <w:tc>
          <w:tcPr>
            <w:tcW w:w="1392" w:type="dxa"/>
            <w:gridSpan w:val="2"/>
            <w:tcBorders>
              <w:top w:val="single" w:color="auto" w:sz="4" w:space="0"/>
              <w:left w:val="single" w:color="auto" w:sz="4" w:space="0"/>
              <w:bottom w:val="single" w:color="auto" w:sz="8" w:space="0"/>
              <w:right w:val="single" w:color="000000" w:sz="8"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993" w:hRule="atLeast"/>
          <w:jc w:val="center"/>
        </w:trPr>
        <w:tc>
          <w:tcPr>
            <w:tcW w:w="695" w:type="dxa"/>
            <w:vMerge w:val="restart"/>
            <w:tcBorders>
              <w:top w:val="single" w:color="auto" w:sz="8" w:space="0"/>
              <w:left w:val="single" w:color="auto" w:sz="8" w:space="0"/>
              <w:bottom w:val="single" w:color="000000" w:sz="8"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641"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1114" w:type="dxa"/>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6220" w:type="dxa"/>
            <w:gridSpan w:val="8"/>
            <w:tcBorders>
              <w:top w:val="single" w:color="auto" w:sz="8"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按照考试实施方案，圆满完成全国考试任务。</w:t>
            </w:r>
          </w:p>
        </w:tc>
      </w:tr>
      <w:tr>
        <w:trPr>
          <w:trHeight w:val="1422"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641"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6220"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初级考试设13批次，应考人数5111人（上年5595人，减少484人，减少8.7%），实考人数3321人，缺考人数1790人，出考率64.98%，合格人数978人，合格率29.45%。中级考试设3批次，应考人数1927人（上年1545人，增加382人，增长24.73%），应考科次4945，实考科次2329，缺考科次2616，出考率47.1%。合格人数195人，合格率22.5%。</w:t>
            </w:r>
          </w:p>
        </w:tc>
      </w:tr>
      <w:tr>
        <w:trPr>
          <w:trHeight w:val="704"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641"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及分析</w:t>
            </w:r>
          </w:p>
        </w:tc>
        <w:tc>
          <w:tcPr>
            <w:tcW w:w="6220"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满足考生考试需求，严格考务管理，务求考试公平，无违纪舞弊行为发生。</w:t>
            </w:r>
          </w:p>
        </w:tc>
      </w:tr>
      <w:tr>
        <w:trPr>
          <w:trHeight w:val="878"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641"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6220"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努力为全市广大考生营造一个和谐、安全、舒适、有序的考试环境，实现考试防疫双安全。</w:t>
            </w:r>
          </w:p>
        </w:tc>
      </w:tr>
      <w:tr>
        <w:trPr>
          <w:trHeight w:val="784"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55"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6220"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1、强化责任落实；2、严肃考风考纪；3、强化部门协调；4、加强考点管理；5、精心挑选监考；6、加强巡视督查；7、制定应急预案。</w:t>
            </w:r>
          </w:p>
        </w:tc>
      </w:tr>
      <w:tr>
        <w:trPr>
          <w:trHeight w:val="944"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项目管理中存在的主要问题及原因分析</w:t>
            </w:r>
          </w:p>
        </w:tc>
        <w:tc>
          <w:tcPr>
            <w:tcW w:w="6220"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考试的机考系统还有待完善；考试的组织管理工作还有待强化；考试的舆情工作还有待于重视。</w:t>
            </w:r>
          </w:p>
        </w:tc>
      </w:tr>
      <w:tr>
        <w:trPr>
          <w:trHeight w:val="958"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55" w:type="dxa"/>
            <w:gridSpan w:val="2"/>
            <w:tcBorders>
              <w:top w:val="single" w:color="auto" w:sz="4" w:space="0"/>
              <w:left w:val="nil"/>
              <w:bottom w:val="single" w:color="auto" w:sz="8"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下一步改进措施及管理建议</w:t>
            </w:r>
          </w:p>
        </w:tc>
        <w:tc>
          <w:tcPr>
            <w:tcW w:w="6220" w:type="dxa"/>
            <w:gridSpan w:val="8"/>
            <w:tcBorders>
              <w:top w:val="single" w:color="auto" w:sz="4" w:space="0"/>
              <w:left w:val="nil"/>
              <w:bottom w:val="single" w:color="auto" w:sz="8" w:space="0"/>
              <w:right w:val="single" w:color="000000" w:sz="8"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进一步强化责任意识，加强与相关部门的沟通、协调和配合，确保考试各项工作做精做细做实，每个环节、每个时点衔接好，特别是保电措施要到位,确保无纸化考试工作安全、平稳、顺利进行。</w:t>
            </w:r>
          </w:p>
        </w:tc>
      </w:tr>
    </w:tbl>
    <w:p>
      <w:pPr>
        <w:pStyle w:val="5"/>
        <w:spacing w:beforeLines="20" w:afterLines="20" w:line="240" w:lineRule="auto"/>
        <w:ind w:firstLine="640" w:firstLineChars="200"/>
        <w:rPr>
          <w:rFonts w:ascii="仿宋_GB2312" w:eastAsia="仿宋_GB2312"/>
          <w:b w:val="0"/>
          <w:sz w:val="32"/>
          <w:szCs w:val="32"/>
        </w:rPr>
      </w:pPr>
      <w:r>
        <w:rPr>
          <w:rFonts w:hint="eastAsia" w:ascii="仿宋_GB2312" w:eastAsia="仿宋_GB2312"/>
          <w:b w:val="0"/>
          <w:sz w:val="32"/>
          <w:szCs w:val="32"/>
        </w:rPr>
        <w:t>3.部门评价项目绩效评价结果。</w:t>
      </w:r>
    </w:p>
    <w:p>
      <w:pPr>
        <w:pStyle w:val="19"/>
        <w:ind w:firstLine="630"/>
        <w:rPr>
          <w:rFonts w:ascii="仿宋_GB2312" w:eastAsia="仿宋_GB2312"/>
          <w:sz w:val="32"/>
          <w:szCs w:val="32"/>
        </w:rPr>
      </w:pPr>
      <w:r>
        <w:rPr>
          <w:rFonts w:hint="eastAsia" w:ascii="仿宋_GB2312" w:eastAsia="仿宋_GB2312"/>
          <w:sz w:val="32"/>
          <w:szCs w:val="32"/>
        </w:rPr>
        <w:t>无</w:t>
      </w:r>
    </w:p>
    <w:p>
      <w:pPr>
        <w:pStyle w:val="4"/>
        <w:spacing w:beforeLines="20" w:afterLines="20" w:line="240" w:lineRule="auto"/>
        <w:ind w:firstLine="640" w:firstLineChars="200"/>
        <w:rPr>
          <w:rFonts w:ascii="楷体" w:hAnsi="楷体" w:eastAsia="楷体"/>
          <w:b w:val="0"/>
        </w:rPr>
      </w:pPr>
      <w:bookmarkStart w:id="118" w:name="_Toc115186607"/>
      <w:bookmarkStart w:id="119" w:name="_Toc115187295"/>
      <w:bookmarkStart w:id="120" w:name="_Toc115193474"/>
      <w:r>
        <w:rPr>
          <w:rFonts w:hint="eastAsia" w:ascii="楷体" w:hAnsi="楷体" w:eastAsia="楷体"/>
          <w:b w:val="0"/>
        </w:rPr>
        <w:t>（五）其他需要说明的事项</w:t>
      </w:r>
      <w:bookmarkEnd w:id="118"/>
      <w:bookmarkEnd w:id="119"/>
      <w:bookmarkEnd w:id="120"/>
    </w:p>
    <w:p>
      <w:pPr>
        <w:pStyle w:val="19"/>
        <w:ind w:firstLine="640"/>
        <w:rPr>
          <w:rFonts w:ascii="仿宋_GB2312" w:eastAsia="仿宋_GB2312"/>
          <w:sz w:val="32"/>
          <w:szCs w:val="32"/>
        </w:rPr>
      </w:pPr>
      <w:r>
        <w:rPr>
          <w:rFonts w:hint="eastAsia" w:ascii="仿宋_GB2312" w:eastAsia="仿宋_GB2312"/>
          <w:sz w:val="32"/>
          <w:szCs w:val="32"/>
        </w:rPr>
        <w:t>无</w:t>
      </w:r>
    </w:p>
    <w:p>
      <w:pPr>
        <w:pStyle w:val="19"/>
        <w:ind w:firstLine="640"/>
        <w:rPr>
          <w:rFonts w:ascii="仿宋_GB2312" w:eastAsia="仿宋_GB2312"/>
          <w:sz w:val="32"/>
          <w:szCs w:val="32"/>
        </w:rPr>
      </w:pPr>
    </w:p>
    <w:p>
      <w:pPr>
        <w:pStyle w:val="19"/>
        <w:ind w:firstLine="640"/>
        <w:rPr>
          <w:rFonts w:ascii="仿宋_GB2312" w:eastAsia="仿宋_GB2312"/>
          <w:sz w:val="32"/>
          <w:szCs w:val="32"/>
        </w:rPr>
      </w:pPr>
    </w:p>
    <w:p>
      <w:pPr>
        <w:pStyle w:val="2"/>
        <w:rPr>
          <w:sz w:val="36"/>
          <w:szCs w:val="36"/>
        </w:rPr>
      </w:pPr>
      <w:r>
        <w:rPr>
          <w:rFonts w:hint="eastAsia"/>
        </w:rPr>
        <w:t xml:space="preserve">   </w:t>
      </w:r>
      <w:bookmarkStart w:id="121" w:name="_Toc115186338"/>
      <w:bookmarkStart w:id="122" w:name="_Toc115186608"/>
      <w:bookmarkStart w:id="123" w:name="_Toc115187296"/>
      <w:bookmarkStart w:id="124" w:name="_Toc115193475"/>
      <w:r>
        <w:rPr>
          <w:rFonts w:hint="eastAsia"/>
          <w:sz w:val="36"/>
          <w:szCs w:val="36"/>
        </w:rPr>
        <w:t>第四部分  名词解释</w:t>
      </w:r>
      <w:bookmarkEnd w:id="121"/>
      <w:bookmarkEnd w:id="122"/>
      <w:bookmarkEnd w:id="123"/>
      <w:bookmarkEnd w:id="124"/>
    </w:p>
    <w:p>
      <w:pPr>
        <w:pStyle w:val="19"/>
        <w:ind w:firstLine="640" w:firstLineChars="200"/>
        <w:rPr>
          <w:rFonts w:ascii="仿宋_GB2312" w:hAnsi="Calibri" w:eastAsia="仿宋_GB2312"/>
          <w:sz w:val="32"/>
          <w:szCs w:val="32"/>
        </w:rPr>
      </w:pPr>
      <w:r>
        <w:rPr>
          <w:rFonts w:hint="eastAsia" w:ascii="仿宋_GB2312" w:hAnsi="Calibri" w:eastAsia="仿宋_GB2312"/>
          <w:sz w:val="32"/>
          <w:szCs w:val="32"/>
        </w:rPr>
        <w:t>一</w:t>
      </w:r>
      <w:r>
        <w:rPr>
          <w:rFonts w:hint="eastAsia" w:ascii="仿宋_GB2312" w:hAnsi="Calibri" w:eastAsia="仿宋_GB2312"/>
          <w:b/>
          <w:bCs/>
          <w:sz w:val="32"/>
          <w:szCs w:val="32"/>
        </w:rPr>
        <w:t>、一般公共预算财政拨款收入：</w:t>
      </w:r>
      <w:r>
        <w:rPr>
          <w:rFonts w:hint="eastAsia" w:ascii="仿宋_GB2312" w:hAnsi="Calibri" w:eastAsia="仿宋_GB2312"/>
          <w:sz w:val="32"/>
          <w:szCs w:val="32"/>
        </w:rPr>
        <w:t>指市级财政当年拨付的资金。</w:t>
      </w:r>
    </w:p>
    <w:p>
      <w:pPr>
        <w:widowControl/>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二、事业收入：</w:t>
      </w:r>
      <w:r>
        <w:rPr>
          <w:rFonts w:hint="eastAsia" w:ascii="仿宋_GB2312" w:hAnsi="宋体" w:eastAsia="仿宋_GB2312" w:cs="宋体"/>
          <w:kern w:val="0"/>
          <w:sz w:val="32"/>
          <w:szCs w:val="32"/>
        </w:rPr>
        <w:t>指事业单位开展专业业务活动及辅助活动取得的收入。</w:t>
      </w:r>
    </w:p>
    <w:p>
      <w:pPr>
        <w:widowControl/>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三、经营收入：</w:t>
      </w:r>
      <w:r>
        <w:rPr>
          <w:rFonts w:hint="eastAsia" w:ascii="仿宋_GB2312" w:hAnsi="宋体" w:eastAsia="仿宋_GB2312" w:cs="宋体"/>
          <w:kern w:val="0"/>
          <w:sz w:val="32"/>
          <w:szCs w:val="32"/>
        </w:rPr>
        <w:t>指事业单位在专业业务活动及辅助活动之外开展非独立核算经营活动取得的收入。</w:t>
      </w:r>
    </w:p>
    <w:p>
      <w:pPr>
        <w:widowControl/>
        <w:rPr>
          <w:rFonts w:ascii="仿宋_GB2312" w:eastAsia="仿宋_GB2312" w:cs="宋体"/>
          <w:kern w:val="0"/>
          <w:sz w:val="32"/>
          <w:szCs w:val="32"/>
        </w:rPr>
      </w:pPr>
      <w:r>
        <w:rPr>
          <w:rFonts w:hint="eastAsia" w:ascii="仿宋_GB2312" w:eastAsia="仿宋_GB2312" w:cs="宋体"/>
          <w:b/>
          <w:bCs/>
          <w:kern w:val="0"/>
          <w:sz w:val="32"/>
          <w:szCs w:val="32"/>
        </w:rPr>
        <w:t xml:space="preserve">    四、其他收入：</w:t>
      </w:r>
      <w:r>
        <w:rPr>
          <w:rFonts w:hint="eastAsia" w:ascii="仿宋_GB2312" w:eastAsia="仿宋_GB2312" w:cs="宋体"/>
          <w:kern w:val="0"/>
          <w:sz w:val="32"/>
          <w:szCs w:val="32"/>
        </w:rPr>
        <w:t>指单位取得的除上述收入以外的各项收入。主要是存款利息收入等。</w:t>
      </w:r>
    </w:p>
    <w:p>
      <w:pPr>
        <w:widowControl/>
        <w:rPr>
          <w:rFonts w:ascii="仿宋_GB2312" w:eastAsia="仿宋_GB2312" w:cs="宋体"/>
          <w:kern w:val="0"/>
          <w:sz w:val="32"/>
          <w:szCs w:val="32"/>
        </w:rPr>
      </w:pPr>
      <w:r>
        <w:rPr>
          <w:rFonts w:hint="eastAsia" w:ascii="仿宋_GB2312" w:eastAsia="仿宋_GB2312" w:cs="宋体"/>
          <w:b/>
          <w:bCs/>
          <w:kern w:val="0"/>
          <w:sz w:val="32"/>
          <w:szCs w:val="32"/>
        </w:rPr>
        <w:t xml:space="preserve">    五、使用非财政拨款结余：</w:t>
      </w:r>
      <w:r>
        <w:rPr>
          <w:rFonts w:hint="eastAsia" w:ascii="仿宋_GB2312" w:eastAsia="仿宋_GB2312" w:cs="宋体"/>
          <w:kern w:val="0"/>
          <w:sz w:val="32"/>
          <w:szCs w:val="32"/>
        </w:rPr>
        <w:t>指事业单位使用以前年度积累的非财政拨款结余弥补当年收支差额的金额。</w:t>
      </w:r>
    </w:p>
    <w:p>
      <w:pPr>
        <w:widowControl/>
        <w:ind w:firstLine="640"/>
        <w:rPr>
          <w:rFonts w:ascii="仿宋_GB2312" w:eastAsia="仿宋_GB2312" w:cs="宋体"/>
          <w:kern w:val="0"/>
          <w:sz w:val="32"/>
          <w:szCs w:val="32"/>
        </w:rPr>
      </w:pPr>
      <w:r>
        <w:rPr>
          <w:rFonts w:hint="eastAsia" w:ascii="仿宋_GB2312" w:eastAsia="仿宋_GB2312" w:cs="宋体"/>
          <w:b/>
          <w:bCs/>
          <w:kern w:val="0"/>
          <w:sz w:val="32"/>
          <w:szCs w:val="32"/>
        </w:rPr>
        <w:t>六、一般公共服务支出（类）：</w:t>
      </w:r>
      <w:r>
        <w:rPr>
          <w:rFonts w:hint="eastAsia" w:ascii="仿宋_GB2312" w:eastAsia="仿宋_GB2312" w:cs="宋体"/>
          <w:kern w:val="0"/>
          <w:sz w:val="32"/>
          <w:szCs w:val="32"/>
        </w:rPr>
        <w:t>反映财政事务方面的支出，主要用于保障机构正常运行、开展日常工作的基本支出。</w:t>
      </w:r>
    </w:p>
    <w:p>
      <w:pPr>
        <w:ind w:firstLine="643" w:firstLineChars="200"/>
      </w:pPr>
      <w:r>
        <w:rPr>
          <w:rFonts w:hint="eastAsia" w:ascii="仿宋_GB2312" w:eastAsia="仿宋_GB2312" w:cs="宋体"/>
          <w:b/>
          <w:kern w:val="0"/>
          <w:sz w:val="32"/>
          <w:szCs w:val="32"/>
        </w:rPr>
        <w:t>七</w:t>
      </w:r>
      <w:r>
        <w:rPr>
          <w:rFonts w:hint="eastAsia" w:ascii="仿宋_GB2312" w:eastAsia="仿宋_GB2312" w:cs="宋体"/>
          <w:kern w:val="0"/>
          <w:sz w:val="32"/>
          <w:szCs w:val="32"/>
        </w:rPr>
        <w:t>、</w:t>
      </w:r>
      <w:r>
        <w:rPr>
          <w:rFonts w:hint="eastAsia" w:ascii="仿宋_GB2312" w:eastAsia="仿宋_GB2312"/>
          <w:b/>
          <w:sz w:val="32"/>
          <w:szCs w:val="32"/>
        </w:rPr>
        <w:t>教育支出（类）：</w:t>
      </w:r>
      <w:r>
        <w:rPr>
          <w:rFonts w:hint="eastAsia" w:ascii="仿宋_GB2312" w:eastAsia="仿宋_GB2312"/>
          <w:sz w:val="32"/>
          <w:szCs w:val="32"/>
        </w:rPr>
        <w:t>反映政府教育事务支出，主要用于农村财会人员能力提升培训方面的支出。</w:t>
      </w:r>
    </w:p>
    <w:p>
      <w:pPr>
        <w:widowControl/>
        <w:ind w:firstLine="640"/>
        <w:rPr>
          <w:rFonts w:ascii="仿宋_GB2312" w:eastAsia="仿宋_GB2312" w:cs="宋体"/>
          <w:kern w:val="0"/>
          <w:sz w:val="32"/>
          <w:szCs w:val="32"/>
        </w:rPr>
      </w:pPr>
      <w:r>
        <w:rPr>
          <w:rFonts w:hint="eastAsia" w:ascii="仿宋_GB2312" w:eastAsia="仿宋_GB2312" w:cs="宋体"/>
          <w:b/>
          <w:bCs/>
          <w:kern w:val="0"/>
          <w:sz w:val="32"/>
          <w:szCs w:val="32"/>
        </w:rPr>
        <w:t>八、社会保障和就业支出（类）：</w:t>
      </w:r>
      <w:r>
        <w:rPr>
          <w:rFonts w:hint="eastAsia" w:ascii="仿宋_GB2312" w:eastAsia="仿宋_GB2312" w:cs="宋体"/>
          <w:kern w:val="0"/>
          <w:sz w:val="32"/>
          <w:szCs w:val="32"/>
        </w:rPr>
        <w:t>反映政府在社会保障与就业方面的支出，主要用于行政事业单位人员养老保险方面的支出。</w:t>
      </w:r>
    </w:p>
    <w:p>
      <w:pPr>
        <w:widowControl/>
        <w:ind w:firstLine="645"/>
        <w:rPr>
          <w:rFonts w:ascii="仿宋_GB2312" w:hAnsi="宋体" w:eastAsia="仿宋_GB2312" w:cs="宋体"/>
          <w:kern w:val="0"/>
          <w:sz w:val="32"/>
          <w:szCs w:val="32"/>
        </w:rPr>
      </w:pPr>
      <w:r>
        <w:rPr>
          <w:rFonts w:hint="eastAsia" w:ascii="仿宋_GB2312" w:hAnsi="宋体" w:eastAsia="仿宋_GB2312" w:cs="宋体"/>
          <w:b/>
          <w:bCs/>
          <w:kern w:val="0"/>
          <w:sz w:val="32"/>
          <w:szCs w:val="32"/>
        </w:rPr>
        <w:t>九、卫生健康支出（类）：</w:t>
      </w:r>
      <w:r>
        <w:rPr>
          <w:rFonts w:hint="eastAsia" w:ascii="仿宋_GB2312" w:hAnsi="宋体" w:eastAsia="仿宋_GB2312" w:cs="宋体"/>
          <w:kern w:val="0"/>
          <w:sz w:val="32"/>
          <w:szCs w:val="32"/>
        </w:rPr>
        <w:t>反映政府卫生健康方面的支出，主要用于行政事业单位基本医疗保险方面的支出。</w:t>
      </w:r>
    </w:p>
    <w:p>
      <w:pPr>
        <w:ind w:firstLine="643" w:firstLineChars="200"/>
      </w:pPr>
      <w:r>
        <w:rPr>
          <w:rFonts w:hint="eastAsia" w:ascii="仿宋_GB2312" w:hAnsi="宋体" w:eastAsia="仿宋_GB2312" w:cs="宋体"/>
          <w:b/>
          <w:kern w:val="0"/>
          <w:sz w:val="32"/>
          <w:szCs w:val="32"/>
        </w:rPr>
        <w:t>十、</w:t>
      </w:r>
      <w:r>
        <w:rPr>
          <w:rFonts w:hint="eastAsia" w:ascii="仿宋_GB2312" w:eastAsia="仿宋_GB2312"/>
          <w:b/>
          <w:color w:val="000000"/>
          <w:sz w:val="32"/>
          <w:szCs w:val="32"/>
        </w:rPr>
        <w:t>城乡社区支出（类）：</w:t>
      </w:r>
      <w:r>
        <w:rPr>
          <w:rFonts w:hint="eastAsia" w:ascii="仿宋_GB2312" w:eastAsia="仿宋_GB2312"/>
          <w:color w:val="000000"/>
          <w:sz w:val="32"/>
          <w:szCs w:val="32"/>
        </w:rPr>
        <w:t>反映政府城乡社区事务支出，主要用于隐性债务偿还本金及利息方面的支出。</w:t>
      </w:r>
    </w:p>
    <w:p>
      <w:pPr>
        <w:widowControl/>
        <w:ind w:firstLine="154" w:firstLineChars="48"/>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十一、农林水支出（类）：</w:t>
      </w:r>
      <w:r>
        <w:rPr>
          <w:rFonts w:hint="eastAsia" w:ascii="仿宋_GB2312" w:hAnsi="宋体" w:eastAsia="仿宋_GB2312" w:cs="宋体"/>
          <w:kern w:val="0"/>
          <w:sz w:val="32"/>
          <w:szCs w:val="32"/>
        </w:rPr>
        <w:t>反映政府农林水事务支出，主要用于扶贫队员下乡补助方面的支出。</w:t>
      </w:r>
    </w:p>
    <w:p>
      <w:pPr>
        <w:widowControl/>
        <w:ind w:firstLine="645"/>
        <w:rPr>
          <w:rFonts w:ascii="仿宋_GB2312" w:hAnsi="宋体" w:eastAsia="仿宋_GB2312" w:cs="宋体"/>
          <w:kern w:val="0"/>
          <w:sz w:val="32"/>
          <w:szCs w:val="32"/>
        </w:rPr>
      </w:pPr>
      <w:r>
        <w:rPr>
          <w:rFonts w:hint="eastAsia" w:ascii="仿宋_GB2312" w:hAnsi="宋体" w:eastAsia="仿宋_GB2312" w:cs="宋体"/>
          <w:b/>
          <w:bCs/>
          <w:kern w:val="0"/>
          <w:sz w:val="32"/>
          <w:szCs w:val="32"/>
        </w:rPr>
        <w:t>十二、住房保障支出（类）：</w:t>
      </w:r>
      <w:r>
        <w:rPr>
          <w:rFonts w:hint="eastAsia" w:ascii="仿宋_GB2312" w:hAnsi="宋体" w:eastAsia="仿宋_GB2312" w:cs="宋体"/>
          <w:kern w:val="0"/>
          <w:sz w:val="32"/>
          <w:szCs w:val="32"/>
        </w:rPr>
        <w:t>反映政府用于住房方面的支出，主要用于行政事业单位按规定为职工缴纳的住房公积金。</w:t>
      </w:r>
    </w:p>
    <w:p>
      <w:pPr>
        <w:ind w:firstLine="643" w:firstLineChars="200"/>
        <w:rPr>
          <w:rFonts w:ascii="仿宋_GB2312" w:hAnsi="仿宋" w:eastAsia="仿宋_GB2312" w:cs="仿宋"/>
          <w:sz w:val="32"/>
          <w:szCs w:val="32"/>
        </w:rPr>
      </w:pPr>
      <w:r>
        <w:rPr>
          <w:rFonts w:hint="eastAsia" w:ascii="仿宋_GB2312" w:hAnsi="宋体" w:eastAsia="仿宋_GB2312" w:cs="宋体"/>
          <w:b/>
          <w:kern w:val="0"/>
          <w:sz w:val="32"/>
          <w:szCs w:val="32"/>
        </w:rPr>
        <w:t>十三、</w:t>
      </w:r>
      <w:r>
        <w:rPr>
          <w:rFonts w:hint="eastAsia" w:ascii="仿宋_GB2312" w:hAnsi="仿宋" w:eastAsia="仿宋_GB2312" w:cs="仿宋"/>
          <w:b/>
          <w:sz w:val="32"/>
          <w:szCs w:val="32"/>
        </w:rPr>
        <w:t>粮油物资储备支出（类）：</w:t>
      </w:r>
      <w:r>
        <w:rPr>
          <w:rFonts w:hint="eastAsia" w:ascii="仿宋_GB2312" w:hAnsi="仿宋" w:eastAsia="仿宋_GB2312" w:cs="仿宋"/>
          <w:sz w:val="32"/>
          <w:szCs w:val="32"/>
        </w:rPr>
        <w:t>反映政府用于粮油物资储备方面的支出，主要用于粮食风险基金补助经费方面的支出。</w:t>
      </w:r>
    </w:p>
    <w:p>
      <w:pPr>
        <w:ind w:firstLine="643" w:firstLineChars="200"/>
      </w:pPr>
      <w:r>
        <w:rPr>
          <w:rFonts w:hint="eastAsia" w:ascii="仿宋_GB2312" w:hAnsi="仿宋" w:eastAsia="仿宋_GB2312" w:cs="仿宋"/>
          <w:b/>
          <w:sz w:val="32"/>
          <w:szCs w:val="32"/>
        </w:rPr>
        <w:t>十四、</w:t>
      </w:r>
      <w:r>
        <w:rPr>
          <w:rFonts w:hint="eastAsia" w:ascii="仿宋_GB2312" w:eastAsia="仿宋_GB2312"/>
          <w:b/>
          <w:sz w:val="32"/>
          <w:szCs w:val="32"/>
        </w:rPr>
        <w:t>其他支出（类）：</w:t>
      </w:r>
      <w:r>
        <w:rPr>
          <w:rFonts w:hint="eastAsia" w:ascii="仿宋_GB2312" w:eastAsia="仿宋_GB2312"/>
          <w:sz w:val="32"/>
          <w:szCs w:val="32"/>
        </w:rPr>
        <w:t>反映不能划分到上述功能科目的其他政府支出，主要用于各类工作考核奖金方面的支出。</w:t>
      </w:r>
    </w:p>
    <w:p>
      <w:pPr>
        <w:widowControl/>
        <w:rPr>
          <w:rFonts w:ascii="Times New Roman" w:hAnsi="Times New Roman" w:cs="Times New Roman"/>
          <w:kern w:val="0"/>
          <w:szCs w:val="21"/>
        </w:rPr>
      </w:pPr>
      <w:r>
        <w:rPr>
          <w:rFonts w:hint="eastAsia" w:ascii="仿宋_GB2312" w:hAnsi="宋体" w:eastAsia="仿宋_GB2312" w:cs="宋体"/>
          <w:b/>
          <w:bCs/>
          <w:kern w:val="0"/>
          <w:sz w:val="32"/>
          <w:szCs w:val="32"/>
        </w:rPr>
        <w:t xml:space="preserve">    十五、年初结转和结余：</w:t>
      </w:r>
      <w:r>
        <w:rPr>
          <w:rFonts w:hint="eastAsia" w:ascii="仿宋_GB2312" w:hAnsi="宋体" w:eastAsia="仿宋_GB2312" w:cs="宋体"/>
          <w:kern w:val="0"/>
          <w:sz w:val="32"/>
          <w:szCs w:val="32"/>
        </w:rPr>
        <w:t>指单位以前年度尚未完成、结转到本年按有关规定继续使用的资金，或项目已完成等产生的结余资金。</w:t>
      </w:r>
    </w:p>
    <w:p>
      <w:pPr>
        <w:widowControl/>
        <w:rPr>
          <w:rFonts w:ascii="仿宋_GB2312" w:eastAsia="仿宋_GB2312" w:cs="宋体"/>
          <w:kern w:val="0"/>
          <w:sz w:val="32"/>
          <w:szCs w:val="32"/>
        </w:rPr>
      </w:pPr>
      <w:r>
        <w:rPr>
          <w:rFonts w:hint="eastAsia" w:ascii="仿宋_GB2312" w:eastAsia="仿宋_GB2312" w:cs="宋体"/>
          <w:b/>
          <w:bCs/>
          <w:kern w:val="0"/>
          <w:sz w:val="32"/>
          <w:szCs w:val="32"/>
        </w:rPr>
        <w:t xml:space="preserve">    十六、结余分配：</w:t>
      </w:r>
      <w:r>
        <w:rPr>
          <w:rFonts w:hint="eastAsia" w:ascii="仿宋_GB2312" w:eastAsia="仿宋_GB2312" w:cs="宋体"/>
          <w:kern w:val="0"/>
          <w:sz w:val="32"/>
          <w:szCs w:val="32"/>
        </w:rPr>
        <w:t>指事业单位按照会计制度规定缴纳的所得税、提取的专用结余以及转入非财政拨款结余的金额等。</w:t>
      </w:r>
    </w:p>
    <w:p>
      <w:pPr>
        <w:widowControl/>
        <w:rPr>
          <w:rFonts w:ascii="仿宋_GB2312" w:eastAsia="仿宋_GB2312" w:cs="宋体"/>
          <w:kern w:val="0"/>
          <w:sz w:val="32"/>
          <w:szCs w:val="32"/>
        </w:rPr>
      </w:pPr>
      <w:r>
        <w:rPr>
          <w:rFonts w:hint="eastAsia" w:ascii="仿宋_GB2312" w:eastAsia="仿宋_GB2312" w:cs="宋体"/>
          <w:b/>
          <w:bCs/>
          <w:kern w:val="0"/>
          <w:sz w:val="32"/>
          <w:szCs w:val="32"/>
        </w:rPr>
        <w:t xml:space="preserve">    十七、年末结转和结余：</w:t>
      </w:r>
      <w:r>
        <w:rPr>
          <w:rFonts w:hint="eastAsia" w:ascii="仿宋_GB2312" w:eastAsia="仿宋_GB2312" w:cs="宋体"/>
          <w:kern w:val="0"/>
          <w:sz w:val="32"/>
          <w:szCs w:val="32"/>
        </w:rPr>
        <w:t>指单位按有关规定结转到下年或以后年度继续使用的资金，或项目已完成等产生的结余资金。</w:t>
      </w:r>
    </w:p>
    <w:p>
      <w:pPr>
        <w:widowControl/>
        <w:rPr>
          <w:rFonts w:ascii="仿宋_GB2312" w:eastAsia="仿宋_GB2312" w:cs="宋体"/>
          <w:kern w:val="0"/>
          <w:sz w:val="32"/>
          <w:szCs w:val="32"/>
        </w:rPr>
      </w:pPr>
      <w:r>
        <w:rPr>
          <w:rFonts w:hint="eastAsia" w:ascii="仿宋_GB2312" w:eastAsia="仿宋_GB2312" w:cs="宋体"/>
          <w:b/>
          <w:bCs/>
          <w:kern w:val="0"/>
          <w:sz w:val="32"/>
          <w:szCs w:val="32"/>
        </w:rPr>
        <w:t xml:space="preserve">    十八、基本支出：</w:t>
      </w:r>
      <w:r>
        <w:rPr>
          <w:rFonts w:hint="eastAsia" w:ascii="仿宋_GB2312" w:eastAsia="仿宋_GB2312" w:cs="宋体"/>
          <w:kern w:val="0"/>
          <w:sz w:val="32"/>
          <w:szCs w:val="32"/>
        </w:rPr>
        <w:t>指为保障机构正常运转、完成日常工作任务而发生的人员支出和公用支出。</w:t>
      </w:r>
    </w:p>
    <w:p>
      <w:pPr>
        <w:widowControl/>
        <w:rPr>
          <w:rFonts w:ascii="仿宋_GB2312" w:eastAsia="仿宋_GB2312" w:cs="宋体"/>
          <w:kern w:val="0"/>
          <w:sz w:val="32"/>
          <w:szCs w:val="32"/>
        </w:rPr>
      </w:pPr>
      <w:r>
        <w:rPr>
          <w:rFonts w:hint="eastAsia" w:ascii="仿宋_GB2312" w:eastAsia="仿宋_GB2312" w:cs="宋体"/>
          <w:b/>
          <w:bCs/>
          <w:kern w:val="0"/>
          <w:sz w:val="32"/>
          <w:szCs w:val="32"/>
        </w:rPr>
        <w:t xml:space="preserve">    十九、项目支出：</w:t>
      </w:r>
      <w:r>
        <w:rPr>
          <w:rFonts w:hint="eastAsia" w:ascii="仿宋_GB2312" w:eastAsia="仿宋_GB2312" w:cs="宋体"/>
          <w:kern w:val="0"/>
          <w:sz w:val="32"/>
          <w:szCs w:val="32"/>
        </w:rPr>
        <w:t>指在基本支出之外为完成特定行政任务和事业发展目标所发生的支出。</w:t>
      </w:r>
    </w:p>
    <w:p>
      <w:pPr>
        <w:widowControl/>
        <w:rPr>
          <w:rFonts w:ascii="仿宋_GB2312" w:eastAsia="仿宋_GB2312" w:cs="宋体"/>
          <w:kern w:val="0"/>
          <w:sz w:val="32"/>
          <w:szCs w:val="32"/>
        </w:rPr>
      </w:pPr>
      <w:r>
        <w:rPr>
          <w:rFonts w:hint="eastAsia" w:ascii="仿宋_GB2312" w:eastAsia="仿宋_GB2312" w:cs="宋体"/>
          <w:b/>
          <w:bCs/>
          <w:kern w:val="0"/>
          <w:sz w:val="32"/>
          <w:szCs w:val="32"/>
        </w:rPr>
        <w:t xml:space="preserve">    二十、“三公”经费：</w:t>
      </w:r>
      <w:r>
        <w:rPr>
          <w:rFonts w:hint="eastAsia" w:ascii="仿宋_GB2312" w:eastAsia="仿宋_GB2312" w:cs="宋体"/>
          <w:kern w:val="0"/>
          <w:sz w:val="32"/>
          <w:szCs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ind w:firstLine="640"/>
        <w:jc w:val="left"/>
        <w:rPr>
          <w:rFonts w:ascii="仿宋_GB2312" w:hAnsi="黑体" w:eastAsia="仿宋_GB2312" w:cs="宋体"/>
          <w:kern w:val="0"/>
          <w:sz w:val="32"/>
          <w:szCs w:val="32"/>
        </w:rPr>
      </w:pPr>
      <w:r>
        <w:rPr>
          <w:rFonts w:hint="eastAsia" w:ascii="仿宋_GB2312" w:eastAsia="仿宋_GB2312" w:cs="宋体"/>
          <w:b/>
          <w:bCs/>
          <w:kern w:val="0"/>
          <w:sz w:val="32"/>
          <w:szCs w:val="32"/>
        </w:rPr>
        <w:t>二十一、机关运行经费：</w:t>
      </w:r>
      <w:r>
        <w:rPr>
          <w:rFonts w:hint="eastAsia" w:ascii="仿宋_GB2312" w:eastAsia="仿宋_GB2312" w:cs="宋体"/>
          <w:kern w:val="0"/>
          <w:sz w:val="32"/>
          <w:szCs w:val="32"/>
        </w:rPr>
        <w:t>指行政单位和参照公务员法管理的事业单位使用一般公共预算安排的基本支出中的日常公用经费支出。</w:t>
      </w:r>
    </w:p>
    <w:sectPr>
      <w:footerReference r:id="rId6" w:type="default"/>
      <w:pgSz w:w="11906" w:h="16838"/>
      <w:pgMar w:top="1440" w:right="1800" w:bottom="1440" w:left="1800" w:header="851" w:footer="992" w:gutter="0"/>
      <w:pgNumType w:fmt="decimal" w:start="1"/>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黑体"/>
        <w:kern w:val="2"/>
        <w:sz w:val="18"/>
        <w:szCs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uiPriority w:val="1"/>
  </w:style>
  <w:style w:type="paragraph" w:styleId="6">
    <w:name w:val="toc 7"/>
    <w:basedOn w:val="1"/>
    <w:next w:val="1"/>
    <w:semiHidden/>
    <w:unhideWhenUsed/>
    <w:uiPriority w:val="39"/>
    <w:pPr>
      <w:ind w:left="2520" w:leftChars="1200"/>
    </w:pPr>
  </w:style>
  <w:style w:type="paragraph" w:styleId="7">
    <w:name w:val="toc 5"/>
    <w:basedOn w:val="1"/>
    <w:next w:val="1"/>
    <w:semiHidden/>
    <w:unhideWhenUsed/>
    <w:uiPriority w:val="39"/>
    <w:pPr>
      <w:ind w:left="1680" w:leftChars="800"/>
    </w:pPr>
  </w:style>
  <w:style w:type="paragraph" w:styleId="8">
    <w:name w:val="toc 3"/>
    <w:basedOn w:val="1"/>
    <w:next w:val="1"/>
    <w:unhideWhenUsed/>
    <w:uiPriority w:val="39"/>
    <w:pPr>
      <w:ind w:left="840" w:leftChars="400"/>
    </w:pPr>
  </w:style>
  <w:style w:type="paragraph" w:styleId="9">
    <w:name w:val="toc 8"/>
    <w:basedOn w:val="1"/>
    <w:next w:val="1"/>
    <w:semiHidden/>
    <w:unhideWhenUsed/>
    <w:uiPriority w:val="39"/>
    <w:pPr>
      <w:ind w:left="2940" w:leftChars="1400"/>
    </w:pPr>
  </w:style>
  <w:style w:type="paragraph" w:styleId="10">
    <w:name w:val="footer"/>
    <w:basedOn w:val="1"/>
    <w:link w:val="24"/>
    <w:semiHidden/>
    <w:unhideWhenUsed/>
    <w:uiPriority w:val="99"/>
    <w:pPr>
      <w:tabs>
        <w:tab w:val="center" w:pos="4153"/>
        <w:tab w:val="right" w:pos="8306"/>
      </w:tabs>
      <w:snapToGrid w:val="0"/>
      <w:jc w:val="left"/>
    </w:pPr>
    <w:rPr>
      <w:sz w:val="18"/>
      <w:szCs w:val="18"/>
    </w:rPr>
  </w:style>
  <w:style w:type="paragraph" w:styleId="11">
    <w:name w:val="header"/>
    <w:basedOn w:val="1"/>
    <w:link w:val="23"/>
    <w:semiHidden/>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toc 4"/>
    <w:basedOn w:val="1"/>
    <w:next w:val="1"/>
    <w:semiHidden/>
    <w:unhideWhenUsed/>
    <w:uiPriority w:val="39"/>
    <w:pPr>
      <w:ind w:left="1260" w:leftChars="600"/>
    </w:pPr>
  </w:style>
  <w:style w:type="paragraph" w:styleId="14">
    <w:name w:val="toc 6"/>
    <w:basedOn w:val="1"/>
    <w:next w:val="1"/>
    <w:semiHidden/>
    <w:unhideWhenUsed/>
    <w:uiPriority w:val="39"/>
    <w:pPr>
      <w:ind w:left="2100" w:leftChars="1000"/>
    </w:pPr>
  </w:style>
  <w:style w:type="paragraph" w:styleId="15">
    <w:name w:val="toc 2"/>
    <w:basedOn w:val="1"/>
    <w:next w:val="1"/>
    <w:unhideWhenUsed/>
    <w:uiPriority w:val="39"/>
    <w:pPr>
      <w:ind w:left="420" w:leftChars="200"/>
    </w:pPr>
  </w:style>
  <w:style w:type="paragraph" w:styleId="16">
    <w:name w:val="toc 9"/>
    <w:basedOn w:val="1"/>
    <w:next w:val="1"/>
    <w:semiHidden/>
    <w:unhideWhenUsed/>
    <w:uiPriority w:val="39"/>
    <w:pPr>
      <w:ind w:left="3360" w:leftChars="1600"/>
    </w:pPr>
  </w:style>
  <w:style w:type="character" w:styleId="18">
    <w:name w:val="Hyperlink"/>
    <w:basedOn w:val="17"/>
    <w:unhideWhenUsed/>
    <w:uiPriority w:val="99"/>
    <w:rPr>
      <w:color w:val="0000FF"/>
      <w:u w:val="single"/>
    </w:rPr>
  </w:style>
  <w:style w:type="paragraph" w:customStyle="1" w:styleId="19">
    <w:name w:val="p0"/>
    <w:basedOn w:val="1"/>
    <w:uiPriority w:val="0"/>
    <w:pPr>
      <w:widowControl/>
    </w:pPr>
    <w:rPr>
      <w:rFonts w:ascii="宋体" w:hAnsi="宋体" w:cs="宋体"/>
      <w:kern w:val="0"/>
      <w:szCs w:val="21"/>
    </w:rPr>
  </w:style>
  <w:style w:type="paragraph" w:customStyle="1" w:styleId="20">
    <w:name w:val="闻政-正文段落文字"/>
    <w:basedOn w:val="1"/>
    <w:link w:val="25"/>
    <w:qFormat/>
    <w:uiPriority w:val="3"/>
    <w:pPr>
      <w:spacing w:line="500" w:lineRule="exact"/>
      <w:ind w:firstLine="200" w:firstLineChars="200"/>
    </w:pPr>
    <w:rPr>
      <w:rFonts w:ascii="Times New Roman" w:hAnsi="Times New Roman" w:eastAsia="仿宋_GB2312" w:cs="Times New Roman"/>
      <w:kern w:val="0"/>
      <w:sz w:val="28"/>
      <w:szCs w:val="28"/>
      <w:lang w:val="zh-CN"/>
    </w:rPr>
  </w:style>
  <w:style w:type="paragraph" w:customStyle="1" w:styleId="21">
    <w:name w:val="p16"/>
    <w:basedOn w:val="1"/>
    <w:uiPriority w:val="0"/>
    <w:pPr>
      <w:widowControl/>
      <w:spacing w:after="120"/>
      <w:ind w:left="420" w:firstLine="420"/>
    </w:pPr>
    <w:rPr>
      <w:rFonts w:ascii="宋体" w:hAnsi="宋体" w:cs="宋体"/>
      <w:kern w:val="0"/>
      <w:szCs w:val="21"/>
    </w:rPr>
  </w:style>
  <w:style w:type="paragraph" w:customStyle="1" w:styleId="22">
    <w:name w:val="TOC Heading"/>
    <w:basedOn w:val="2"/>
    <w:next w:val="1"/>
    <w:semiHidden/>
    <w:unhideWhenUsed/>
    <w:qFormat/>
    <w:uiPriority w:val="39"/>
    <w:pPr>
      <w:widowControl/>
      <w:spacing w:before="480" w:after="0" w:line="276" w:lineRule="auto"/>
      <w:jc w:val="left"/>
      <w:outlineLvl w:val="9"/>
    </w:pPr>
    <w:rPr>
      <w:rFonts w:ascii="Cambria" w:hAnsi="Cambria" w:cs="Times New Roman"/>
      <w:color w:val="365F91"/>
      <w:kern w:val="0"/>
      <w:sz w:val="28"/>
      <w:szCs w:val="28"/>
    </w:rPr>
  </w:style>
  <w:style w:type="character" w:customStyle="1" w:styleId="23">
    <w:name w:val="页眉 Char Char"/>
    <w:basedOn w:val="17"/>
    <w:link w:val="11"/>
    <w:uiPriority w:val="99"/>
    <w:rPr>
      <w:sz w:val="18"/>
      <w:szCs w:val="18"/>
    </w:rPr>
  </w:style>
  <w:style w:type="character" w:customStyle="1" w:styleId="24">
    <w:name w:val="页脚 Char Char"/>
    <w:basedOn w:val="17"/>
    <w:link w:val="10"/>
    <w:uiPriority w:val="99"/>
    <w:rPr>
      <w:sz w:val="18"/>
      <w:szCs w:val="18"/>
    </w:rPr>
  </w:style>
  <w:style w:type="character" w:customStyle="1" w:styleId="25">
    <w:name w:val="闻政-正文段落文字 Char Char"/>
    <w:link w:val="20"/>
    <w:qFormat/>
    <w:uiPriority w:val="3"/>
    <w:rPr>
      <w:rFonts w:ascii="Times New Roman" w:hAnsi="Times New Roman" w:eastAsia="仿宋_GB2312" w:cs="Times New Roman"/>
      <w:kern w:val="0"/>
      <w:sz w:val="28"/>
      <w:szCs w:val="28"/>
      <w:lang w:val="zh-CN"/>
    </w:rPr>
  </w:style>
  <w:style w:type="character" w:customStyle="1" w:styleId="26">
    <w:name w:val="标题 1 Char Char"/>
    <w:basedOn w:val="17"/>
    <w:link w:val="2"/>
    <w:uiPriority w:val="9"/>
    <w:rPr>
      <w:rFonts w:ascii="Calibri" w:hAnsi="Calibri" w:cs="黑体"/>
      <w:b/>
      <w:bCs/>
      <w:kern w:val="44"/>
      <w:sz w:val="44"/>
      <w:szCs w:val="44"/>
    </w:rPr>
  </w:style>
  <w:style w:type="character" w:customStyle="1" w:styleId="27">
    <w:name w:val="标题 2 Char Char"/>
    <w:basedOn w:val="17"/>
    <w:link w:val="3"/>
    <w:uiPriority w:val="9"/>
    <w:rPr>
      <w:rFonts w:ascii="Cambria" w:hAnsi="Cambria" w:eastAsia="宋体" w:cs="Times New Roman"/>
      <w:b/>
      <w:bCs/>
      <w:kern w:val="2"/>
      <w:sz w:val="32"/>
      <w:szCs w:val="32"/>
    </w:rPr>
  </w:style>
  <w:style w:type="character" w:customStyle="1" w:styleId="28">
    <w:name w:val="标题 3 Char Char"/>
    <w:basedOn w:val="17"/>
    <w:link w:val="4"/>
    <w:uiPriority w:val="9"/>
    <w:rPr>
      <w:rFonts w:ascii="Calibri" w:hAnsi="Calibri" w:cs="黑体"/>
      <w:b/>
      <w:bCs/>
      <w:kern w:val="2"/>
      <w:sz w:val="32"/>
      <w:szCs w:val="32"/>
    </w:rPr>
  </w:style>
  <w:style w:type="character" w:customStyle="1" w:styleId="29">
    <w:name w:val="标题 4 Char Char"/>
    <w:basedOn w:val="17"/>
    <w:link w:val="5"/>
    <w:uiPriority w:val="9"/>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2444</Words>
  <Characters>13935</Characters>
  <Lines>116</Lines>
  <Paragraphs>32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2022-09-27T00:31:00Z</dcterms:created>
  <dc:creator>管理员</dc:creator>
  <cp:lastModifiedBy>忻州市财政局</cp:lastModifiedBy>
  <cp:lastPrinted>2022-09-27T02:40:00Z</cp:lastPrinted>
  <dcterms:modified xsi:type="dcterms:W3CDTF">2023-03-29T00:59:35Z</dcterms:modified>
  <dc:title>忻州市财政局2021年度部门决算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