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服务青少年综合发展工作经费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中国共产主义青年团忻州市委员会</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中国共产主义青年团忻州市委员会-129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召开共青团全委会、少工委工作会、市青联全委会；加强我市青少年发展工作；组织实施《未成年人保护法》，组织开展青少年法律、法规宣传教育活动，协调社会各界维护青少年合法权益；负责城市社区团组织有关工作；组织指导全市青年文明社区的创建工作，协助管理社区青少年事务；组织开展各类主题教育活动；组织指导全市团员青年的思想教育和全市团组织的文化活动；培养、树立、宣传全市各条战线的优秀青年典型；负责组织指导全市共青团和青少年工作的宣传报道；协助并组织编写青少年教育的政治理论教材和文艺作品；指导青少年活动阵地建设。</w:t>
      </w:r>
    </w:p>
    <w:p>
      <w:pPr>
        <w:pStyle w:val="44"/>
        <w:ind w:left="280" w:firstLine="562"/>
        <w:rPr>
          <w:lang w:eastAsia="zh-CN"/>
        </w:rPr>
      </w:pPr>
      <w:r>
        <w:rPr>
          <w:rFonts w:hint="eastAsia"/>
          <w:b/>
          <w:bCs/>
          <w:lang w:val="en-US" w:eastAsia="zh-CN"/>
        </w:rPr>
        <w:t>立项依据：</w:t>
      </w:r>
      <w:r>
        <w:rPr>
          <w:rFonts w:hint="eastAsia"/>
          <w:lang w:eastAsia="zh-CN"/>
        </w:rPr>
        <w:t>《中国共产主义青年团章程》《中华全国青年联合会章程》；按照中央、省委、市委部署；全市预防青少年违法犯罪工作安排部署、《未成年人保护法》；</w:t>
      </w:r>
    </w:p>
    <w:p>
      <w:pPr>
        <w:pStyle w:val="44"/>
        <w:ind w:left="280" w:firstLine="562"/>
        <w:rPr>
          <w:lang w:eastAsia="zh-CN"/>
        </w:rPr>
      </w:pPr>
      <w:r>
        <w:rPr>
          <w:rFonts w:hint="eastAsia"/>
          <w:b/>
          <w:bCs/>
          <w:lang w:val="en-US" w:eastAsia="zh-CN"/>
        </w:rPr>
        <w:t>设立的必要性：</w:t>
      </w:r>
      <w:r>
        <w:rPr>
          <w:rFonts w:hint="eastAsia"/>
          <w:lang w:eastAsia="zh-CN"/>
        </w:rPr>
        <w:t>召开共青团全委会、少工委工作会、市青联全委会；加强我市青少年发展工作；组织实施《未成年人保护法》，组织开展青少年法律、法规宣传教育活动，协调社会各界维护青少年合法权益；负责城市社区团组织有关工作；组织指导全市青年文明社区的创建工作，协助管理社区青少年事务；组织开展各类主题教育活动；组织指导全市团员青年的思想教育和全市团组织的文化活动；培养、树立、宣传全市各条战线的优秀青年典型；负责组织指导全市共青团和青少年工作的宣传报道；协助并组织编写青少年教育的政治理论教材和文艺作品；指导青少年活动阵地建设。</w:t>
      </w:r>
    </w:p>
    <w:p>
      <w:pPr>
        <w:pStyle w:val="44"/>
        <w:ind w:left="280" w:firstLine="562"/>
        <w:rPr>
          <w:lang w:eastAsia="zh-CN"/>
        </w:rPr>
      </w:pPr>
      <w:r>
        <w:rPr>
          <w:rFonts w:hint="eastAsia"/>
          <w:b/>
          <w:bCs/>
          <w:lang w:val="en-US" w:eastAsia="zh-CN"/>
        </w:rPr>
        <w:t>保证项目实施的措施与制度：</w:t>
      </w:r>
      <w:r>
        <w:rPr>
          <w:rFonts w:hint="eastAsia"/>
          <w:lang w:eastAsia="zh-CN"/>
        </w:rPr>
        <w:t>团市委工作制度、收支业务管理制度、预算业务管理制度</w:t>
      </w:r>
    </w:p>
    <w:p>
      <w:pPr>
        <w:pStyle w:val="44"/>
        <w:ind w:left="280" w:firstLine="562"/>
        <w:rPr>
          <w:lang w:eastAsia="zh-CN"/>
        </w:rPr>
      </w:pPr>
      <w:r>
        <w:rPr>
          <w:rFonts w:hint="eastAsia"/>
          <w:b/>
          <w:bCs/>
          <w:lang w:val="en-US" w:eastAsia="zh-CN"/>
        </w:rPr>
        <w:t>项目实施计划：</w:t>
      </w:r>
      <w:r>
        <w:rPr>
          <w:rFonts w:hint="eastAsia"/>
          <w:lang w:eastAsia="zh-CN"/>
        </w:rPr>
        <w:t>2021.01-2021.12 召开会议；2021.01-2021.12 组织培训；2021.01-2021.12 青创基地房屋租赁；2021.01-2021.12 预青活动；2021.01-2021.12 3.5学雷锋、禁毒日、普法日等 主题教育实践活动；2021.01-2021.12 六一活动；2021.01-2021.12 “青年之家”阵地建设</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1、按时组织召开相关会议；</w:t>
        <w:br/>
        <w:t>2、动员青年充分发挥生力军作用，引导广大青年创业创新创优；</w:t>
        <w:br/>
        <w:t>3、提高认识，加强宣传，营造全社会关注支持预防青少年违法犯罪工作的良好氛围；强化基础，构建学校、家庭、社会三位体的预防青少年违法犯罪工作网络；</w:t>
        <w:br/>
        <w:t>4、开展主题教育实践活动，有效提升青年对党、对国、对团的向心力和凝聚力；</w:t>
        <w:br/>
        <w:t>5、把思想引领作为首要任务，引导青少年团结在党周围，坚定在中国特色社会主义道路上实现中国梦的理想信念。</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1、组织召开团委全委会、市青联全委会；2、组织青年在脱贫攻坚中建功立业。带领青年在转型发展中积极作为。引导青年在社会建设中做贡献。动员青年在生态建设中发挥作用；3、深入推进重点青少年群体服务管理和预防犯罪工作，全面净化青少年成长的社会文化环境；4、利用3.5学雷锋、五四运动、六一等重要时间节点在全市青少年中广泛开展形式多样的主题教育实践活动；5、组织带领团员青年持续深入学习习近平新时代中国特色社会主义思想，在常学常新中加强理论修养，坚定理想信念。进一步完善青年讲师团计划，重点培养一批政治坚定、善于面向青年传播党的理论主张的优秀青年骨干，常态化深入基层、走进青年开展宣讲交流</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服务青少年综合发展工作经费</w:t>
      </w:r>
      <w:r>
        <w:rPr>
          <w:rFonts w:hint="eastAsia"/>
          <w:lang w:eastAsia="zh-CN"/>
        </w:rPr>
        <w:t>项目绩效自评价结果为:总得分</w:t>
      </w:r>
      <w:r>
        <w:rPr>
          <w:color w:val=""/>
          <w:u w:val="none"/>
        </w:rPr>
        <w:t>100</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主题教育次数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会议次数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5.7</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5.7</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印刷宣传册数量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租赁费</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举办活动次数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严格按要求安排部署目标要求</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印刷质量符合国家标准</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严格按照租赁合同和机关单位支出</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实现青少年理念、素能提升；提高青年就业创业能力、法治水平、维权能力</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全年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节约成本，不超预算</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青年就业率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青少年社会主义核心价值观；中华优秀传统文化的弘扬和传播；进一步扩大共青团、少先队工作影响力与吸引力；青少年法治教育；加强我市青年发展</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活动环保率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促进全市共青团、少先队、青联工作发展；重点青少年群体服务管理；全市广大青少年理想信念进一步坚定，素质能力得到全面发展；加强我市青年发展工作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全市共青团、少先队工作者和青联发展；青少年满意度；参与青少年对相关组织及服务工作满意度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无</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无</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无</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无</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年初预算财政拨款为20万元</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举办活动次数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主题教育次数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租赁费</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会议次数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5.7</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5.7</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印刷宣传册数量</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严格按要求安排部署目标要求</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印刷质量符合国家标准</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严格按照租赁合同和机关单位支出</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实现青少年理念、素能提升；提高青年就业创业能力、法治水平、维权能力</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全年</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节约成本，不超预算</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年初预算财政拨款为20万元</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青年就业率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青少年社会主义核心价值观；中华优秀传统文化的弘扬和传播；进一步扩大共青团、少先队工作影响力与吸引力；青少年法治教育；加强我市青年发展</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活动环保率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促进全市共青团、少先队、青联工作发展；重点青少年群体服务管理；全市广大青少年理想信念进一步坚定，素质能力得到全面发展；加强我市青年发展工作</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全市共青团、少先队工作者和青联发展；青少年满意度；参与青少年对相关组织及服务工作满意度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5.62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