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平安建设（综治工作）经费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中共忻州市委政法委员会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中共忻州市委政法委员会-127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年度平安建设考核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忻州市平安建设(综治工作)责任书，全市平安建设考核评价实施细则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全面、客观、准确地评价各县(市、区)年度平安建设工作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1.群众安全感和满意度调查。2.委托部门专项工作考核。3.实地查看。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1.对各县（市、区）平安建设工作进行安排部署，检查督导。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对7个县（市、区）进行奖励，每县（市、区）3万元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全面提升群众安全感和满意度，促进平安建设工作水平提高。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平安建设（综治工作）经费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96.13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先进县（市、区）进行表彰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表彰合格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及时发放率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21万元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每个县3万元，7个县共21万元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创建平安忻州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创建平安忻州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加强促进各县（市、区）积极推进平安建设工作积极性，持续推动社会稳定。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大于等于90%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全面、客观、准确地评价各县市2021年平安建设工作，评选合格率100%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各县考核指标70项共960分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推进了平安建设工作的积极性，持续推动社会稳定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促进平安建设工作水平的提高，提升群众的安全感和满意度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先进县（市、区）进行表彰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7个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7个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表彰合格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及时发放率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21万元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每个县3万元，7个县共21万元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创建平安忻州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创建平安忻州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加强促进各县（市、区）积极推进平安建设工作积极性，持续推动社会稳定。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明显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积极推进平安建设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群众满意度（%）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大于等于90%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11.56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