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spacing w:line="600" w:lineRule="atLeast"/>
        <w:jc w:val="center"/>
        <w:rPr>
          <w:rFonts w:ascii="方正小标宋简体" w:eastAsia="方正小标宋简体" w:hAnsi="微软雅黑" w:cs="宋体"/>
          <w:b/>
          <w:color w:val="444444"/>
          <w:kern w:val="0"/>
          <w:sz w:val="44"/>
          <w:szCs w:val="44"/>
        </w:rPr>
      </w:pPr>
      <w:r>
        <w:rPr>
          <w:rFonts w:ascii="方正小标宋简体" w:eastAsia="方正小标宋简体" w:hAnsi="微软雅黑" w:cs="宋体"/>
          <w:b/>
          <w:noProof/>
          <w:color w:val="444444"/>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-182245</wp:posOffset>
                </wp:positionH>
                <wp:positionV relativeFrom="paragraph">
                  <wp:posOffset>-921716</wp:posOffset>
                </wp:positionV>
                <wp:extent cx="2374265" cy="1403985"/>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pPr>
                              <w:rPr>
                                <w:rFonts w:ascii="仿宋_GB2312" w:eastAsia="仿宋_GB2312"/>
                                <w:sz w:val="32"/>
                                <w:szCs w:val="32"/>
                              </w:rPr>
                            </w:pPr>
                            <w:r>
                              <w:rPr>
                                <w:rFonts w:ascii="仿宋_GB2312" w:eastAsia="仿宋_GB2312" w:hint="eastAsia"/>
                                <w:sz w:val="32"/>
                                <w:szCs w:val="32"/>
                              </w:rPr>
                              <w:t>附件1：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4.35pt;margin-top:-72.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" filled="f" stroked="f">
                <v:textbox style="mso-fit-shape-to-text:t">
                  <w:txbxContent>
                    <w:p>
                      <w:pPr>
                        <w:rPr>
                          <w:rFonts w:ascii="仿宋_GB2312" w:eastAsia="仿宋_GB2312"/>
                          <w:sz w:val="32"/>
                          <w:szCs w:val="32"/>
                        </w:rPr>
                      </w:pPr>
                      <w:r>
                        <w:rPr>
                          <w:rFonts w:ascii="仿宋_GB2312" w:eastAsia="仿宋_GB2312" w:hint="eastAsia"/>
                          <w:sz w:val="32"/>
                          <w:szCs w:val="32"/>
                        </w:rPr>
                        <w:t>附件1：</w:t>
                      </w:r>
                    </w:p>
                  </w:txbxContent>
                </v:textbox>
              </v:shape>
            </w:pict>
          </mc:Fallback>
        </mc:AlternateContent>
      </w:r>
      <w:r>
        <w:rPr>
          <w:rFonts w:ascii="方正小标宋简体" w:eastAsia="方正小标宋简体" w:hAnsi="微软雅黑" w:cs="宋体" w:hint="eastAsia"/>
          <w:b/>
          <w:color w:val="444444"/>
          <w:kern w:val="0"/>
          <w:sz w:val="44"/>
          <w:szCs w:val="44"/>
        </w:rPr>
        <w:t>第三方机构参与预算绩效管理</w:t>
      </w:r>
    </w:p>
    <w:p>
      <w:pPr>
        <w:widowControl/>
        <w:shd w:val="clear" w:color="auto" w:fill="FFFFFF"/>
        <w:spacing w:line="600" w:lineRule="atLeast"/>
        <w:jc w:val="center"/>
        <w:rPr>
          <w:rFonts w:ascii="微软雅黑" w:eastAsia="微软雅黑" w:hAnsi="微软雅黑" w:cs="宋体"/>
          <w:b/>
          <w:color w:val="444444"/>
          <w:kern w:val="0"/>
          <w:sz w:val="24"/>
          <w:szCs w:val="24"/>
        </w:rPr>
      </w:pPr>
      <w:r>
        <w:rPr>
          <w:rFonts w:ascii="方正小标宋简体" w:eastAsia="方正小标宋简体" w:hAnsi="微软雅黑" w:cs="宋体" w:hint="eastAsia"/>
          <w:b/>
          <w:color w:val="444444"/>
          <w:kern w:val="0"/>
          <w:sz w:val="44"/>
          <w:szCs w:val="44"/>
        </w:rPr>
        <w:t>工作质量控制办法（暂行）</w:t>
      </w:r>
    </w:p>
    <w:p>
      <w:pPr>
        <w:widowControl/>
        <w:shd w:val="clear" w:color="auto" w:fill="FFFFFF"/>
        <w:spacing w:line="600" w:lineRule="atLeast"/>
        <w:jc w:val="center"/>
        <w:rPr>
          <w:rFonts w:ascii="微软雅黑" w:eastAsia="微软雅黑" w:hAnsi="微软雅黑" w:cs="宋体"/>
          <w:color w:val="444444"/>
          <w:kern w:val="0"/>
          <w:sz w:val="24"/>
          <w:szCs w:val="24"/>
        </w:rPr>
      </w:pPr>
    </w:p>
    <w:p>
      <w:pPr>
        <w:widowControl/>
        <w:shd w:val="clear" w:color="auto" w:fill="FFFFFF"/>
        <w:spacing w:line="600" w:lineRule="atLeast"/>
        <w:ind w:firstLine="640"/>
        <w:jc w:val="left"/>
        <w:rPr>
          <w:rFonts w:ascii="微软雅黑" w:eastAsia="微软雅黑" w:hAnsi="微软雅黑" w:cs="宋体"/>
          <w:kern w:val="0"/>
          <w:sz w:val="24"/>
          <w:szCs w:val="24"/>
        </w:rPr>
      </w:pPr>
      <w:r>
        <w:rPr>
          <w:rFonts w:ascii="黑体" w:eastAsia="黑体" w:hAnsi="黑体" w:cs="宋体" w:hint="eastAsia"/>
          <w:kern w:val="0"/>
          <w:sz w:val="32"/>
          <w:szCs w:val="32"/>
        </w:rPr>
        <w:t>第一条</w:t>
      </w:r>
      <w:r>
        <w:rPr>
          <w:rFonts w:ascii="仿宋_GB2312" w:eastAsia="仿宋_GB2312" w:hAnsi="微软雅黑" w:cs="宋体" w:hint="eastAsia"/>
          <w:kern w:val="0"/>
          <w:sz w:val="32"/>
          <w:szCs w:val="32"/>
        </w:rPr>
        <w:t xml:space="preserve">  为进一步规范委托第三方机构参与财政预算绩效管理相关工作，加强第三方机构参与财政预算绩效管理工作的管理和监督、提升工作质量，根据中共中央国务院《关于全面实施预算绩效管理的意见》（中发〔</w:t>
      </w:r>
      <w:r>
        <w:rPr>
          <w:rFonts w:ascii="Times New Roman" w:eastAsia="微软雅黑" w:hAnsi="Times New Roman" w:cs="Times New Roman" w:hint="eastAsia"/>
          <w:kern w:val="0"/>
          <w:sz w:val="32"/>
          <w:szCs w:val="32"/>
        </w:rPr>
        <w:t>2018</w:t>
      </w:r>
      <w:r>
        <w:rPr>
          <w:rFonts w:ascii="仿宋_GB2312" w:eastAsia="仿宋_GB2312" w:hAnsi="微软雅黑" w:cs="宋体" w:hint="eastAsia"/>
          <w:kern w:val="0"/>
          <w:sz w:val="32"/>
          <w:szCs w:val="32"/>
        </w:rPr>
        <w:t>〕</w:t>
      </w:r>
      <w:r>
        <w:rPr>
          <w:rFonts w:ascii="Times New Roman" w:eastAsia="微软雅黑" w:hAnsi="Times New Roman" w:cs="Times New Roman" w:hint="eastAsia"/>
          <w:kern w:val="0"/>
          <w:sz w:val="32"/>
          <w:szCs w:val="32"/>
        </w:rPr>
        <w:t>34</w:t>
      </w:r>
      <w:r>
        <w:rPr>
          <w:rFonts w:ascii="仿宋_GB2312" w:eastAsia="仿宋_GB2312" w:hAnsi="微软雅黑" w:cs="宋体" w:hint="eastAsia"/>
          <w:kern w:val="0"/>
          <w:sz w:val="32"/>
          <w:szCs w:val="32"/>
        </w:rPr>
        <w:t>号）中“引导和规范第三方中介机构参与预算绩效管理，严格执业质量监督管理”等要求，制定本办法。</w:t>
      </w:r>
    </w:p>
    <w:p>
      <w:pPr>
        <w:widowControl/>
        <w:shd w:val="clear" w:color="auto" w:fill="FFFFFF"/>
        <w:spacing w:line="600" w:lineRule="atLeast"/>
        <w:ind w:firstLine="640"/>
        <w:jc w:val="left"/>
        <w:rPr>
          <w:rFonts w:ascii="微软雅黑" w:eastAsia="微软雅黑" w:hAnsi="微软雅黑" w:cs="宋体"/>
          <w:kern w:val="0"/>
          <w:sz w:val="24"/>
          <w:szCs w:val="24"/>
        </w:rPr>
      </w:pPr>
      <w:r>
        <w:rPr>
          <w:rFonts w:ascii="黑体" w:eastAsia="黑体" w:hAnsi="黑体" w:cs="宋体" w:hint="eastAsia"/>
          <w:kern w:val="0"/>
          <w:sz w:val="32"/>
          <w:szCs w:val="32"/>
        </w:rPr>
        <w:t xml:space="preserve">第二条  </w:t>
      </w:r>
      <w:r>
        <w:rPr>
          <w:rFonts w:ascii="仿宋_GB2312" w:eastAsia="仿宋_GB2312" w:hAnsi="微软雅黑" w:cs="宋体" w:hint="eastAsia"/>
          <w:kern w:val="0"/>
          <w:sz w:val="32"/>
          <w:szCs w:val="32"/>
        </w:rPr>
        <w:t>本办法的所称的第三方机构指《忻州市委托第三方机构参与预算绩效管理工作管理办法》所规定的第三方，主要包括绩效管理咨询机构、会计师事务所、资产评估机构和高等院校、科研院所、行业协会及具有政府购买服务承接主体资格的事业单位及其他社会力量。</w:t>
      </w:r>
      <w:r>
        <w:rPr>
          <w:rFonts w:ascii="微软雅黑" w:eastAsia="微软雅黑" w:hAnsi="微软雅黑" w:cs="宋体"/>
          <w:kern w:val="0"/>
          <w:sz w:val="24"/>
          <w:szCs w:val="24"/>
        </w:rPr>
        <w:t xml:space="preserve"> </w:t>
      </w:r>
    </w:p>
    <w:p>
      <w:pPr>
        <w:widowControl/>
        <w:shd w:val="clear" w:color="auto" w:fill="FFFFFF"/>
        <w:spacing w:line="600" w:lineRule="atLeast"/>
        <w:ind w:firstLine="640"/>
        <w:jc w:val="left"/>
        <w:rPr>
          <w:rFonts w:ascii="仿宋_GB2312" w:eastAsia="仿宋_GB2312" w:hAnsi="微软雅黑" w:cs="宋体" w:hint="eastAsia"/>
          <w:kern w:val="0"/>
          <w:sz w:val="32"/>
          <w:szCs w:val="32"/>
        </w:rPr>
      </w:pPr>
      <w:r>
        <w:rPr>
          <w:rFonts w:ascii="黑体" w:eastAsia="黑体" w:hAnsi="黑体" w:cs="宋体" w:hint="eastAsia"/>
          <w:kern w:val="0"/>
          <w:sz w:val="32"/>
          <w:szCs w:val="32"/>
        </w:rPr>
        <w:t xml:space="preserve">第三条  </w:t>
      </w:r>
      <w:r>
        <w:rPr>
          <w:rFonts w:ascii="仿宋_GB2312" w:eastAsia="仿宋_GB2312" w:hAnsi="微软雅黑" w:cs="宋体" w:hint="eastAsia"/>
          <w:kern w:val="0"/>
          <w:sz w:val="32"/>
          <w:szCs w:val="32"/>
        </w:rPr>
        <w:t>第三方工作质量包括第三方机构在受托业务中参与预算绩效管理的工作质量及执业质量。第三方工作质量由财政部门或委托方按规定办法评估确定；执业质量主要由财政部门按规定办法评估确定。</w:t>
      </w:r>
    </w:p>
    <w:p>
      <w:pPr>
        <w:widowControl/>
        <w:shd w:val="clear" w:color="auto" w:fill="FFFFFF"/>
        <w:spacing w:line="600" w:lineRule="atLeast"/>
        <w:ind w:firstLine="640"/>
        <w:jc w:val="left"/>
        <w:rPr>
          <w:rFonts w:ascii="仿宋_GB2312" w:eastAsia="仿宋_GB2312" w:hAnsi="微软雅黑" w:cs="宋体" w:hint="eastAsia"/>
          <w:kern w:val="0"/>
          <w:sz w:val="32"/>
          <w:szCs w:val="32"/>
        </w:rPr>
      </w:pPr>
      <w:r>
        <w:rPr>
          <w:rFonts w:ascii="黑体" w:eastAsia="黑体" w:hAnsi="黑体" w:cs="宋体" w:hint="eastAsia"/>
          <w:kern w:val="0"/>
          <w:sz w:val="32"/>
          <w:szCs w:val="32"/>
        </w:rPr>
        <w:t>第四条</w:t>
      </w:r>
      <w:r>
        <w:rPr>
          <w:rFonts w:ascii="仿宋_GB2312" w:eastAsia="仿宋_GB2312" w:hAnsi="微软雅黑" w:cs="宋体" w:hint="eastAsia"/>
          <w:kern w:val="0"/>
          <w:sz w:val="32"/>
          <w:szCs w:val="32"/>
        </w:rPr>
        <w:t xml:space="preserve">  考核工作实行年度评估制。每年年底前，委托方应将本部门（单位）对第三方机构的工作质量评估结果报财政部门。</w:t>
      </w:r>
    </w:p>
    <w:p>
      <w:pPr>
        <w:widowControl/>
        <w:shd w:val="clear" w:color="auto" w:fill="FFFFFF"/>
        <w:spacing w:line="600" w:lineRule="atLeast"/>
        <w:ind w:firstLine="640"/>
        <w:jc w:val="left"/>
        <w:rPr>
          <w:rFonts w:ascii="仿宋_GB2312" w:eastAsia="仿宋_GB2312" w:hAnsi="微软雅黑" w:cs="宋体" w:hint="eastAsia"/>
          <w:kern w:val="0"/>
          <w:sz w:val="32"/>
          <w:szCs w:val="32"/>
        </w:rPr>
      </w:pPr>
      <w:r>
        <w:rPr>
          <w:rFonts w:ascii="黑体" w:eastAsia="黑体" w:hAnsi="黑体" w:cs="宋体" w:hint="eastAsia"/>
          <w:kern w:val="0"/>
          <w:sz w:val="32"/>
          <w:szCs w:val="32"/>
        </w:rPr>
        <w:lastRenderedPageBreak/>
        <w:t>第</w:t>
      </w:r>
      <w:r>
        <w:rPr>
          <w:rFonts w:ascii="黑体" w:eastAsia="黑体" w:hAnsi="黑体" w:cs="宋体" w:hint="eastAsia"/>
          <w:kern w:val="0"/>
          <w:sz w:val="32"/>
          <w:szCs w:val="32"/>
        </w:rPr>
        <w:t>五</w:t>
      </w:r>
      <w:r>
        <w:rPr>
          <w:rFonts w:ascii="黑体" w:eastAsia="黑体" w:hAnsi="黑体" w:cs="宋体" w:hint="eastAsia"/>
          <w:kern w:val="0"/>
          <w:sz w:val="32"/>
          <w:szCs w:val="32"/>
        </w:rPr>
        <w:t>条</w:t>
      </w:r>
      <w:r>
        <w:rPr>
          <w:rFonts w:ascii="仿宋_GB2312" w:eastAsia="仿宋_GB2312" w:hAnsi="微软雅黑" w:cs="宋体" w:hint="eastAsia"/>
          <w:kern w:val="0"/>
          <w:sz w:val="32"/>
          <w:szCs w:val="32"/>
        </w:rPr>
        <w:t xml:space="preserve">  评估结果仅作为有关部门和单位选择第三方机构参与财政性资金预算绩效管理工作的重要参考，不得仅据此结果进行机构等级评定等工作。</w:t>
      </w:r>
    </w:p>
    <w:p>
      <w:pPr>
        <w:widowControl/>
        <w:shd w:val="clear" w:color="auto" w:fill="FFFFFF"/>
        <w:spacing w:line="600" w:lineRule="atLeast"/>
        <w:ind w:firstLine="640"/>
        <w:jc w:val="left"/>
        <w:rPr>
          <w:rFonts w:ascii="仿宋_GB2312" w:eastAsia="仿宋_GB2312" w:hAnsi="微软雅黑" w:cs="宋体" w:hint="eastAsia"/>
          <w:kern w:val="0"/>
          <w:sz w:val="32"/>
          <w:szCs w:val="32"/>
        </w:rPr>
      </w:pPr>
      <w:r>
        <w:rPr>
          <w:rFonts w:ascii="黑体" w:eastAsia="黑体" w:hAnsi="黑体" w:cs="宋体" w:hint="eastAsia"/>
          <w:kern w:val="0"/>
          <w:sz w:val="32"/>
          <w:szCs w:val="32"/>
        </w:rPr>
        <w:t>第</w:t>
      </w:r>
      <w:r>
        <w:rPr>
          <w:rFonts w:ascii="黑体" w:eastAsia="黑体" w:hAnsi="黑体" w:cs="宋体" w:hint="eastAsia"/>
          <w:kern w:val="0"/>
          <w:sz w:val="32"/>
          <w:szCs w:val="32"/>
        </w:rPr>
        <w:t>六</w:t>
      </w:r>
      <w:r>
        <w:rPr>
          <w:rFonts w:ascii="黑体" w:eastAsia="黑体" w:hAnsi="黑体" w:cs="宋体" w:hint="eastAsia"/>
          <w:kern w:val="0"/>
          <w:sz w:val="32"/>
          <w:szCs w:val="32"/>
        </w:rPr>
        <w:t>条</w:t>
      </w:r>
      <w:r>
        <w:rPr>
          <w:rFonts w:ascii="仿宋_GB2312" w:eastAsia="仿宋_GB2312" w:hAnsi="微软雅黑" w:cs="宋体" w:hint="eastAsia"/>
          <w:kern w:val="0"/>
          <w:sz w:val="32"/>
          <w:szCs w:val="32"/>
        </w:rPr>
        <w:t xml:space="preserve">  工作质量评估主要以评估绩效评价报告、评价项目涉及的档案管理、绩效目标申报质量等为主；执业质量评估主要以评估第三方机构专业人员服务数量、内部管理制度建设、专业水平、客服水平、履行社会责任等方面为主。具体评估内容及评分标准依各附件列示项确定。</w:t>
      </w:r>
    </w:p>
    <w:p>
      <w:pPr>
        <w:widowControl/>
        <w:shd w:val="clear" w:color="auto" w:fill="FFFFFF"/>
        <w:spacing w:line="600" w:lineRule="atLeast"/>
        <w:ind w:firstLine="640"/>
        <w:jc w:val="left"/>
        <w:rPr>
          <w:rFonts w:ascii="仿宋_GB2312" w:eastAsia="仿宋_GB2312" w:hAnsi="微软雅黑" w:cs="宋体" w:hint="eastAsia"/>
          <w:kern w:val="0"/>
          <w:sz w:val="32"/>
          <w:szCs w:val="32"/>
        </w:rPr>
      </w:pPr>
      <w:r>
        <w:rPr>
          <w:rFonts w:ascii="黑体" w:eastAsia="黑体" w:hAnsi="黑体" w:cs="宋体" w:hint="eastAsia"/>
          <w:kern w:val="0"/>
          <w:sz w:val="32"/>
          <w:szCs w:val="32"/>
        </w:rPr>
        <w:t>第</w:t>
      </w:r>
      <w:r>
        <w:rPr>
          <w:rFonts w:ascii="黑体" w:eastAsia="黑体" w:hAnsi="黑体" w:cs="宋体" w:hint="eastAsia"/>
          <w:kern w:val="0"/>
          <w:sz w:val="32"/>
          <w:szCs w:val="32"/>
        </w:rPr>
        <w:t>七</w:t>
      </w:r>
      <w:r>
        <w:rPr>
          <w:rFonts w:ascii="黑体" w:eastAsia="黑体" w:hAnsi="黑体" w:cs="宋体" w:hint="eastAsia"/>
          <w:kern w:val="0"/>
          <w:sz w:val="32"/>
          <w:szCs w:val="32"/>
        </w:rPr>
        <w:t>条</w:t>
      </w:r>
      <w:r>
        <w:rPr>
          <w:rFonts w:ascii="仿宋_GB2312" w:eastAsia="仿宋_GB2312" w:hAnsi="微软雅黑" w:cs="宋体" w:hint="eastAsia"/>
          <w:kern w:val="0"/>
          <w:sz w:val="32"/>
          <w:szCs w:val="32"/>
        </w:rPr>
        <w:t xml:space="preserve">  工作质量评估主要通过委托方自行评定、财政部门和业务主管部门组织专家评审、听取报告、查阅资料、举行座谈、个别了解等方式进行；执业质量评估主要以财政部门组织填写评估表等方式进行。评估方必要时可以询问评价负责人或者到被评价单位及其他相关部门（单位</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rPr>
        <w:t>调查核实有关情况。</w:t>
      </w:r>
    </w:p>
    <w:p>
      <w:pPr>
        <w:widowControl/>
        <w:shd w:val="clear" w:color="auto" w:fill="FFFFFF"/>
        <w:spacing w:line="600" w:lineRule="atLeast"/>
        <w:ind w:firstLine="640"/>
        <w:jc w:val="left"/>
        <w:rPr>
          <w:rFonts w:ascii="仿宋_GB2312" w:eastAsia="仿宋_GB2312" w:hAnsi="微软雅黑" w:cs="宋体" w:hint="eastAsia"/>
          <w:kern w:val="0"/>
          <w:sz w:val="32"/>
          <w:szCs w:val="32"/>
        </w:rPr>
      </w:pPr>
      <w:r>
        <w:rPr>
          <w:rFonts w:ascii="黑体" w:eastAsia="黑体" w:hAnsi="黑体" w:cs="宋体" w:hint="eastAsia"/>
          <w:kern w:val="0"/>
          <w:sz w:val="32"/>
          <w:szCs w:val="32"/>
        </w:rPr>
        <w:t>第</w:t>
      </w:r>
      <w:r>
        <w:rPr>
          <w:rFonts w:ascii="黑体" w:eastAsia="黑体" w:hAnsi="黑体" w:cs="宋体" w:hint="eastAsia"/>
          <w:kern w:val="0"/>
          <w:sz w:val="32"/>
          <w:szCs w:val="32"/>
        </w:rPr>
        <w:t>八</w:t>
      </w:r>
      <w:r>
        <w:rPr>
          <w:rFonts w:ascii="黑体" w:eastAsia="黑体" w:hAnsi="黑体" w:cs="宋体" w:hint="eastAsia"/>
          <w:kern w:val="0"/>
          <w:sz w:val="32"/>
          <w:szCs w:val="32"/>
        </w:rPr>
        <w:t xml:space="preserve">条  </w:t>
      </w:r>
      <w:r>
        <w:rPr>
          <w:rFonts w:ascii="仿宋_GB2312" w:eastAsia="仿宋_GB2312" w:hAnsi="微软雅黑" w:cs="宋体" w:hint="eastAsia"/>
          <w:kern w:val="0"/>
          <w:sz w:val="32"/>
          <w:szCs w:val="32"/>
        </w:rPr>
        <w:t>评估实行百分制，满分为100分。评估结果高于90分（含90分）的为“优秀”；高于70分（含70分）低于90分的为“合格”；低于70分的为“不合格”。</w:t>
      </w:r>
    </w:p>
    <w:p>
      <w:pPr>
        <w:widowControl/>
        <w:shd w:val="clear" w:color="auto" w:fill="FFFFFF"/>
        <w:spacing w:line="600" w:lineRule="atLeast"/>
        <w:ind w:firstLine="640"/>
        <w:jc w:val="left"/>
        <w:rPr>
          <w:rFonts w:ascii="仿宋_GB2312" w:eastAsia="仿宋_GB2312" w:hAnsi="微软雅黑" w:cs="宋体"/>
          <w:kern w:val="0"/>
          <w:sz w:val="32"/>
          <w:szCs w:val="32"/>
        </w:rPr>
      </w:pPr>
      <w:r>
        <w:rPr>
          <w:rFonts w:ascii="黑体" w:eastAsia="黑体" w:hAnsi="黑体" w:cs="宋体" w:hint="eastAsia"/>
          <w:kern w:val="0"/>
          <w:sz w:val="32"/>
          <w:szCs w:val="32"/>
        </w:rPr>
        <w:t>第</w:t>
      </w:r>
      <w:r>
        <w:rPr>
          <w:rFonts w:ascii="黑体" w:eastAsia="黑体" w:hAnsi="黑体" w:cs="宋体" w:hint="eastAsia"/>
          <w:kern w:val="0"/>
          <w:sz w:val="32"/>
          <w:szCs w:val="32"/>
        </w:rPr>
        <w:t>九</w:t>
      </w:r>
      <w:r>
        <w:rPr>
          <w:rFonts w:ascii="黑体" w:eastAsia="黑体" w:hAnsi="黑体" w:cs="宋体" w:hint="eastAsia"/>
          <w:kern w:val="0"/>
          <w:sz w:val="32"/>
          <w:szCs w:val="32"/>
        </w:rPr>
        <w:t>条</w:t>
      </w:r>
      <w:r>
        <w:rPr>
          <w:rFonts w:ascii="仿宋_GB2312" w:eastAsia="仿宋_GB2312" w:hAnsi="微软雅黑" w:cs="宋体" w:hint="eastAsia"/>
          <w:kern w:val="0"/>
          <w:sz w:val="32"/>
          <w:szCs w:val="32"/>
        </w:rPr>
        <w:t xml:space="preserve">  同一评估对象当年接受多项委托的，分别对每个委托项目进行评估，所有项目评估得分的算术平均值为该评估对象年度工作质量评估结果。</w:t>
      </w:r>
    </w:p>
    <w:p>
      <w:pPr>
        <w:widowControl/>
        <w:shd w:val="clear" w:color="auto" w:fill="FFFFFF"/>
        <w:spacing w:line="600" w:lineRule="atLeast"/>
        <w:ind w:firstLine="640"/>
        <w:jc w:val="left"/>
        <w:rPr>
          <w:rFonts w:ascii="仿宋_GB2312" w:eastAsia="仿宋_GB2312" w:hAnsi="微软雅黑" w:cs="宋体"/>
          <w:kern w:val="0"/>
          <w:sz w:val="32"/>
          <w:szCs w:val="32"/>
        </w:rPr>
      </w:pPr>
      <w:r>
        <w:rPr>
          <w:rFonts w:ascii="黑体" w:eastAsia="黑体" w:hAnsi="黑体" w:cs="宋体" w:hint="eastAsia"/>
          <w:kern w:val="0"/>
          <w:sz w:val="32"/>
          <w:szCs w:val="32"/>
        </w:rPr>
        <w:t>第十条</w:t>
      </w:r>
      <w:r>
        <w:rPr>
          <w:rFonts w:ascii="仿宋_GB2312" w:eastAsia="仿宋_GB2312" w:hAnsi="微软雅黑" w:cs="宋体" w:hint="eastAsia"/>
          <w:kern w:val="0"/>
          <w:sz w:val="32"/>
          <w:szCs w:val="32"/>
        </w:rPr>
        <w:t xml:space="preserve">  财政部门或委托方应及时向第三方机构通报评估结果。第三方机构对结果有异议的，应在收到通报之日起3个工作日内向评估单位提出异议，并在5个工作日内出具异议书及相关材料。评估单位收到书面异议材料后，应在3个工作日内以书面形式对提出异议的第三方机构进行答复，告知其异议处理结果及具体理由。第三方机构未提出异议或异议期满后20日内，委托方应在一定范围内公布评估结果并及时向财政部门报告结果公布地址。</w:t>
      </w:r>
      <w:bookmarkStart w:id="0" w:name="_GoBack"/>
      <w:bookmarkEnd w:id="0"/>
    </w:p>
    <w:p>
      <w:pPr>
        <w:widowControl/>
        <w:shd w:val="clear" w:color="auto" w:fill="FFFFFF"/>
        <w:spacing w:line="600" w:lineRule="atLeast"/>
        <w:ind w:firstLine="640"/>
        <w:jc w:val="left"/>
        <w:rPr>
          <w:rFonts w:ascii="仿宋_GB2312" w:eastAsia="仿宋_GB2312" w:hAnsi="微软雅黑" w:cs="宋体"/>
          <w:kern w:val="0"/>
          <w:sz w:val="32"/>
          <w:szCs w:val="32"/>
        </w:rPr>
      </w:pPr>
      <w:r>
        <w:rPr>
          <w:rFonts w:ascii="黑体" w:eastAsia="黑体" w:hAnsi="黑体" w:cs="宋体" w:hint="eastAsia"/>
          <w:kern w:val="0"/>
          <w:sz w:val="32"/>
          <w:szCs w:val="32"/>
        </w:rPr>
        <w:t>第十一条</w:t>
      </w:r>
      <w:r>
        <w:rPr>
          <w:rFonts w:ascii="仿宋_GB2312" w:eastAsia="仿宋_GB2312" w:hAnsi="微软雅黑" w:cs="宋体" w:hint="eastAsia"/>
          <w:kern w:val="0"/>
          <w:sz w:val="32"/>
          <w:szCs w:val="32"/>
        </w:rPr>
        <w:t xml:space="preserve">  </w:t>
      </w:r>
      <w:r>
        <w:rPr>
          <w:rFonts w:ascii="仿宋_GB2312" w:eastAsia="仿宋_GB2312" w:hAnsi="微软雅黑" w:cs="宋体" w:hint="eastAsia"/>
          <w:kern w:val="0"/>
          <w:sz w:val="32"/>
          <w:szCs w:val="32"/>
        </w:rPr>
        <w:t>委托方可自行选择委托对象。委托方选择委托对象时应将财政部门公布的第三方机构工作质量考核结果作为重要参考因素，优先选择考核结果排序靠前的第三方机构参与预算绩效管理工作。如选择的第三方机构未包含在财政部门公布的第三方机构工作质量考核结果范围内，委托方在向财政部门上报第三方机构工作质量考评结果时，应向财政部门提交委托对象基本信息。</w:t>
      </w:r>
    </w:p>
    <w:p>
      <w:pPr>
        <w:widowControl/>
        <w:shd w:val="clear" w:color="auto" w:fill="FFFFFF"/>
        <w:spacing w:line="600" w:lineRule="atLeast"/>
        <w:ind w:firstLine="640"/>
        <w:jc w:val="left"/>
        <w:rPr>
          <w:rFonts w:ascii="仿宋_GB2312" w:eastAsia="仿宋_GB2312" w:hAnsi="微软雅黑" w:cs="宋体"/>
          <w:kern w:val="0"/>
          <w:sz w:val="32"/>
          <w:szCs w:val="32"/>
        </w:rPr>
      </w:pPr>
      <w:r>
        <w:rPr>
          <w:rFonts w:ascii="黑体" w:eastAsia="黑体" w:hAnsi="黑体" w:cs="宋体" w:hint="eastAsia"/>
          <w:kern w:val="0"/>
          <w:sz w:val="32"/>
          <w:szCs w:val="32"/>
        </w:rPr>
        <w:t>第十二条</w:t>
      </w:r>
      <w:r>
        <w:rPr>
          <w:rFonts w:ascii="仿宋_GB2312" w:eastAsia="仿宋_GB2312" w:hAnsi="微软雅黑" w:cs="宋体" w:hint="eastAsia"/>
          <w:kern w:val="0"/>
          <w:sz w:val="32"/>
          <w:szCs w:val="32"/>
        </w:rPr>
        <w:t xml:space="preserve">  </w:t>
      </w:r>
      <w:r>
        <w:rPr>
          <w:rFonts w:ascii="仿宋_GB2312" w:eastAsia="仿宋_GB2312" w:hAnsi="微软雅黑" w:cs="宋体" w:hint="eastAsia"/>
          <w:kern w:val="0"/>
          <w:sz w:val="32"/>
          <w:szCs w:val="32"/>
        </w:rPr>
        <w:t>第三方机构工作质量考核结果与当年付费水平及后续年度受托业务资格挂钩。</w:t>
      </w:r>
    </w:p>
    <w:p>
      <w:pPr>
        <w:widowControl/>
        <w:shd w:val="clear" w:color="auto" w:fill="FFFFFF"/>
        <w:spacing w:line="600" w:lineRule="atLeast"/>
        <w:ind w:firstLine="640"/>
        <w:jc w:val="left"/>
        <w:rPr>
          <w:rFonts w:ascii="仿宋_GB2312" w:eastAsia="仿宋_GB2312" w:hAnsi="微软雅黑" w:cs="宋体"/>
          <w:kern w:val="0"/>
          <w:sz w:val="32"/>
          <w:szCs w:val="32"/>
        </w:rPr>
      </w:pPr>
      <w:r>
        <w:rPr>
          <w:rFonts w:ascii="黑体" w:eastAsia="黑体" w:hAnsi="黑体" w:cs="宋体" w:hint="eastAsia"/>
          <w:kern w:val="0"/>
          <w:sz w:val="32"/>
          <w:szCs w:val="32"/>
        </w:rPr>
        <w:t>第十三条</w:t>
      </w:r>
      <w:r>
        <w:rPr>
          <w:rFonts w:ascii="仿宋_GB2312" w:eastAsia="仿宋_GB2312" w:hAnsi="微软雅黑" w:cs="宋体" w:hint="eastAsia"/>
          <w:kern w:val="0"/>
          <w:sz w:val="32"/>
          <w:szCs w:val="32"/>
        </w:rPr>
        <w:t xml:space="preserve">  考核结果为“优秀”，委托方可根据与考核对象签订的委托合同中约定的费用优惠率下调5%支付委托费用；考核结果为“合格”，委托方可按其与考核对象签订的委托合同中约定的费用优惠</w:t>
      </w:r>
      <w:proofErr w:type="gramStart"/>
      <w:r>
        <w:rPr>
          <w:rFonts w:ascii="仿宋_GB2312" w:eastAsia="仿宋_GB2312" w:hAnsi="微软雅黑" w:cs="宋体" w:hint="eastAsia"/>
          <w:kern w:val="0"/>
          <w:sz w:val="32"/>
          <w:szCs w:val="32"/>
        </w:rPr>
        <w:t>率支付</w:t>
      </w:r>
      <w:proofErr w:type="gramEnd"/>
      <w:r>
        <w:rPr>
          <w:rFonts w:ascii="仿宋_GB2312" w:eastAsia="仿宋_GB2312" w:hAnsi="微软雅黑" w:cs="宋体" w:hint="eastAsia"/>
          <w:kern w:val="0"/>
          <w:sz w:val="32"/>
          <w:szCs w:val="32"/>
        </w:rPr>
        <w:t>委托费用；考核结果为“不合格”，委托</w:t>
      </w:r>
      <w:r>
        <w:rPr>
          <w:rFonts w:ascii="仿宋_GB2312" w:eastAsia="仿宋_GB2312" w:hAnsi="微软雅黑" w:cs="宋体" w:hint="eastAsia"/>
          <w:kern w:val="0"/>
          <w:sz w:val="32"/>
          <w:szCs w:val="32"/>
        </w:rPr>
        <w:lastRenderedPageBreak/>
        <w:t>方要督促其整改，并根据整改情况及与考核对象签订的相关协议或合同中的约定，减付部分或全部委托费用，直至终止委托关系。</w:t>
      </w:r>
    </w:p>
    <w:p>
      <w:pPr>
        <w:widowControl/>
        <w:shd w:val="clear" w:color="auto" w:fill="FFFFFF"/>
        <w:spacing w:line="600" w:lineRule="atLeast"/>
        <w:ind w:firstLine="640"/>
        <w:jc w:val="left"/>
        <w:rPr>
          <w:rFonts w:ascii="仿宋_GB2312" w:eastAsia="仿宋_GB2312" w:hAnsi="微软雅黑" w:cs="宋体"/>
          <w:kern w:val="0"/>
          <w:sz w:val="32"/>
          <w:szCs w:val="32"/>
        </w:rPr>
      </w:pPr>
      <w:r>
        <w:rPr>
          <w:rFonts w:ascii="黑体" w:eastAsia="黑体" w:hAnsi="黑体" w:cs="宋体" w:hint="eastAsia"/>
          <w:kern w:val="0"/>
          <w:sz w:val="32"/>
          <w:szCs w:val="32"/>
        </w:rPr>
        <w:t>第十四条</w:t>
      </w:r>
      <w:r>
        <w:rPr>
          <w:rFonts w:ascii="仿宋_GB2312" w:eastAsia="仿宋_GB2312" w:hAnsi="微软雅黑" w:cs="宋体" w:hint="eastAsia"/>
          <w:kern w:val="0"/>
          <w:sz w:val="32"/>
          <w:szCs w:val="32"/>
        </w:rPr>
        <w:t xml:space="preserve">  连续两年被考核为“不合格”的第三方机构，从最后一次考核“不合格”结果公布开始之日起两年内，不得参与忻州市辖区范围</w:t>
      </w:r>
      <w:proofErr w:type="gramStart"/>
      <w:r>
        <w:rPr>
          <w:rFonts w:ascii="仿宋_GB2312" w:eastAsia="仿宋_GB2312" w:hAnsi="微软雅黑" w:cs="宋体" w:hint="eastAsia"/>
          <w:kern w:val="0"/>
          <w:sz w:val="32"/>
          <w:szCs w:val="32"/>
        </w:rPr>
        <w:t>内财政</w:t>
      </w:r>
      <w:proofErr w:type="gramEnd"/>
      <w:r>
        <w:rPr>
          <w:rFonts w:ascii="仿宋_GB2312" w:eastAsia="仿宋_GB2312" w:hAnsi="微软雅黑" w:cs="宋体" w:hint="eastAsia"/>
          <w:kern w:val="0"/>
          <w:sz w:val="32"/>
          <w:szCs w:val="32"/>
        </w:rPr>
        <w:t>性资金预算绩效管理相关工作。</w:t>
      </w:r>
    </w:p>
    <w:p>
      <w:pPr>
        <w:widowControl/>
        <w:shd w:val="clear" w:color="auto" w:fill="FFFFFF"/>
        <w:spacing w:line="600" w:lineRule="atLeast"/>
        <w:ind w:firstLine="640"/>
        <w:jc w:val="left"/>
        <w:rPr>
          <w:rFonts w:ascii="仿宋_GB2312" w:eastAsia="仿宋_GB2312" w:hAnsi="微软雅黑" w:cs="宋体"/>
          <w:kern w:val="0"/>
          <w:sz w:val="32"/>
          <w:szCs w:val="32"/>
        </w:rPr>
      </w:pPr>
      <w:r>
        <w:rPr>
          <w:rFonts w:ascii="黑体" w:eastAsia="黑体" w:hAnsi="黑体" w:cs="宋体" w:hint="eastAsia"/>
          <w:kern w:val="0"/>
          <w:sz w:val="32"/>
          <w:szCs w:val="32"/>
        </w:rPr>
        <w:t>第十五条</w:t>
      </w:r>
      <w:r>
        <w:rPr>
          <w:rFonts w:ascii="仿宋_GB2312" w:eastAsia="仿宋_GB2312" w:hAnsi="微软雅黑" w:cs="宋体" w:hint="eastAsia"/>
          <w:kern w:val="0"/>
          <w:sz w:val="32"/>
          <w:szCs w:val="32"/>
        </w:rPr>
        <w:t xml:space="preserve">  不及时向财政部门报送绩效评价报告等重要资料，或在工作过程中存在隐瞒问题、篡改评价结果、反映情况严重失实、保密措施不严造成较大后果、存在违纪违法等严重问题的第三方机构，从被通报之日起三年内不得参与忻州市范围内的财政性资金预算绩效管理相关工作。 </w:t>
      </w:r>
    </w:p>
    <w:p>
      <w:pPr>
        <w:widowControl/>
        <w:shd w:val="clear" w:color="auto" w:fill="FFFFFF"/>
        <w:spacing w:line="600" w:lineRule="atLeast"/>
        <w:ind w:firstLine="640"/>
        <w:jc w:val="left"/>
        <w:rPr>
          <w:rFonts w:ascii="仿宋_GB2312" w:eastAsia="仿宋_GB2312" w:hAnsi="微软雅黑" w:cs="宋体"/>
          <w:kern w:val="0"/>
          <w:sz w:val="32"/>
          <w:szCs w:val="32"/>
        </w:rPr>
      </w:pPr>
      <w:r>
        <w:rPr>
          <w:rFonts w:ascii="黑体" w:eastAsia="黑体" w:hAnsi="黑体" w:cs="宋体" w:hint="eastAsia"/>
          <w:kern w:val="0"/>
          <w:sz w:val="32"/>
          <w:szCs w:val="32"/>
        </w:rPr>
        <w:t xml:space="preserve">第十六条  </w:t>
      </w:r>
      <w:r>
        <w:rPr>
          <w:rFonts w:ascii="仿宋_GB2312" w:eastAsia="仿宋_GB2312" w:hAnsi="微软雅黑" w:cs="宋体" w:hint="eastAsia"/>
          <w:kern w:val="0"/>
          <w:sz w:val="32"/>
          <w:szCs w:val="32"/>
        </w:rPr>
        <w:t>本办法由市财政局负责解释。</w:t>
      </w:r>
    </w:p>
    <w:p>
      <w:pPr>
        <w:widowControl/>
        <w:shd w:val="clear" w:color="auto" w:fill="FFFFFF"/>
        <w:spacing w:line="600" w:lineRule="atLeast"/>
        <w:ind w:firstLine="640"/>
        <w:jc w:val="left"/>
        <w:rPr>
          <w:rFonts w:ascii="仿宋_GB2312" w:eastAsia="仿宋_GB2312" w:hAnsi="微软雅黑" w:cs="宋体"/>
          <w:kern w:val="0"/>
          <w:sz w:val="32"/>
          <w:szCs w:val="32"/>
        </w:rPr>
      </w:pPr>
      <w:r>
        <w:rPr>
          <w:rFonts w:ascii="黑体" w:eastAsia="黑体" w:hAnsi="黑体" w:cs="宋体" w:hint="eastAsia"/>
          <w:kern w:val="0"/>
          <w:sz w:val="32"/>
          <w:szCs w:val="32"/>
        </w:rPr>
        <w:t>第十七条</w:t>
      </w:r>
      <w:r>
        <w:rPr>
          <w:rFonts w:ascii="仿宋_GB2312" w:eastAsia="仿宋_GB2312" w:hAnsi="微软雅黑" w:cs="宋体" w:hint="eastAsia"/>
          <w:kern w:val="0"/>
          <w:sz w:val="32"/>
          <w:szCs w:val="32"/>
        </w:rPr>
        <w:t xml:space="preserve">  本办法有效期2年，自印发之日起实行。</w:t>
      </w:r>
    </w:p>
    <w:p/>
    <w:sectPr>
      <w:footerReference w:type="default" r:id="rId7"/>
      <w:pgSz w:w="11906" w:h="16838" w:code="9"/>
      <w:pgMar w:top="2098" w:right="1474" w:bottom="1985" w:left="1588" w:header="851" w:footer="992" w:gutter="0"/>
      <w:pgNumType w:fmt="numberInDash"/>
      <w:cols w:space="425"/>
      <w:docGrid w:linePitch="579"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537508"/>
      <w:docPartObj>
        <w:docPartGallery w:val="Page Numbers (Bottom of Page)"/>
        <w:docPartUnique/>
      </w:docPartObj>
    </w:sdtPr>
    <w:sdtContent>
      <w:p>
        <w:pPr>
          <w:pStyle w:val="a4"/>
          <w:jc w:val="center"/>
        </w:pPr>
        <w:r>
          <w:fldChar w:fldCharType="begin"/>
        </w:r>
        <w:r>
          <w:instrText>PAGE   \* MERGEFORMAT</w:instrText>
        </w:r>
        <w:r>
          <w:fldChar w:fldCharType="separate"/>
        </w:r>
        <w:r>
          <w:rPr>
            <w:noProof/>
            <w:lang w:val="zh-CN"/>
          </w:rPr>
          <w:t>-</w:t>
        </w:r>
        <w:r>
          <w:rPr>
            <w:noProof/>
          </w:rPr>
          <w:t xml:space="preserve"> 3 -</w:t>
        </w:r>
        <w:r>
          <w:fldChar w:fldCharType="end"/>
        </w:r>
      </w:p>
    </w:sdtContent>
  </w:sdt>
  <w:p>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仿宋_GB2312" w:hAnsiTheme="minorHAnsi" w:cstheme="minorBidi"/>
        <w:kern w:val="2"/>
        <w:sz w:val="32"/>
        <w:szCs w:val="3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heme="minorHAnsi" w:eastAsiaTheme="minorEastAsia"/>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rFonts w:asciiTheme="minorHAnsi" w:eastAsiaTheme="minorEastAsia"/>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rFonts w:asciiTheme="minorHAnsi" w:eastAsiaTheme="minorEastAs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_GB2312" w:eastAsia="仿宋_GB2312" w:hAnsiTheme="minorHAnsi" w:cstheme="minorBidi"/>
        <w:kern w:val="2"/>
        <w:sz w:val="32"/>
        <w:szCs w:val="3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heme="minorHAnsi" w:eastAsiaTheme="minorEastAsia"/>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rFonts w:asciiTheme="minorHAnsi" w:eastAsiaTheme="minorEastAsia"/>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rFonts w:asciiTheme="minorHAnsi"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262</Words>
  <Characters>1497</Characters>
  <Application>Microsoft Office Word</Application>
  <DocSecurity>0</DocSecurity>
  <Lines>12</Lines>
  <Paragraphs>3</Paragraphs>
  <ScaleCrop>false</ScaleCrop>
  <Company>Microsoft</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郭利锋 科长</dc:creator>
  <cp:lastModifiedBy>郭利锋 科长</cp:lastModifiedBy>
  <cp:revision>2</cp:revision>
  <dcterms:created xsi:type="dcterms:W3CDTF">2020-12-09T01:14:00Z</dcterms:created>
  <dcterms:modified xsi:type="dcterms:W3CDTF">2020-12-09T01:14:00Z</dcterms:modified>
</cp:coreProperties>
</file>